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D096E">
      <w:pPr>
        <w:jc w:val="center"/>
        <w:rPr>
          <w:rFonts w:hint="eastAsia"/>
          <w:b/>
          <w:sz w:val="68"/>
          <w:szCs w:val="68"/>
        </w:rPr>
      </w:pPr>
    </w:p>
    <w:p w14:paraId="66162DB7">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5758026B">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303D6E4">
      <w:pPr>
        <w:jc w:val="center"/>
        <w:rPr>
          <w:rFonts w:hint="eastAsia"/>
          <w:b/>
          <w:sz w:val="72"/>
          <w:szCs w:val="72"/>
        </w:rPr>
      </w:pPr>
    </w:p>
    <w:p w14:paraId="778318A2">
      <w:pPr>
        <w:jc w:val="center"/>
        <w:rPr>
          <w:rFonts w:hint="eastAsia"/>
          <w:b/>
          <w:sz w:val="72"/>
          <w:szCs w:val="72"/>
        </w:rPr>
      </w:pPr>
    </w:p>
    <w:p w14:paraId="2B03BDCE">
      <w:pPr>
        <w:jc w:val="center"/>
        <w:rPr>
          <w:rFonts w:hint="eastAsia"/>
          <w:b/>
          <w:sz w:val="72"/>
          <w:szCs w:val="72"/>
        </w:rPr>
      </w:pPr>
    </w:p>
    <w:p w14:paraId="33186928">
      <w:pPr>
        <w:snapToGrid w:val="0"/>
        <w:rPr>
          <w:b/>
          <w:sz w:val="28"/>
          <w:szCs w:val="28"/>
        </w:rPr>
      </w:pPr>
    </w:p>
    <w:p w14:paraId="2D88DEAF">
      <w:pPr>
        <w:pStyle w:val="9"/>
        <w:snapToGrid w:val="0"/>
        <w:spacing w:before="156" w:after="156" w:line="360" w:lineRule="auto"/>
        <w:ind w:firstLine="0"/>
        <w:jc w:val="center"/>
        <w:rPr>
          <w:rFonts w:hint="default" w:ascii="Times New Roman" w:hAnsi="Times New Roman"/>
          <w:b/>
          <w:sz w:val="32"/>
          <w:szCs w:val="32"/>
          <w:highlight w:val="none"/>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肌电反馈刺激系统</w:t>
      </w:r>
    </w:p>
    <w:p w14:paraId="7FD7B00A">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项目编号：ZDWYY-XJ-2026012</w:t>
      </w:r>
    </w:p>
    <w:p w14:paraId="2516D659">
      <w:pPr>
        <w:pStyle w:val="9"/>
        <w:snapToGrid w:val="0"/>
        <w:spacing w:before="156" w:after="156" w:line="360" w:lineRule="auto"/>
        <w:ind w:firstLine="841" w:firstLineChars="294"/>
        <w:rPr>
          <w:rFonts w:ascii="Times New Roman" w:hAnsi="Times New Roman"/>
          <w:b/>
          <w:bCs/>
          <w:w w:val="95"/>
          <w:sz w:val="30"/>
          <w:szCs w:val="30"/>
        </w:rPr>
      </w:pPr>
    </w:p>
    <w:p w14:paraId="4328B8DA">
      <w:pPr>
        <w:pStyle w:val="9"/>
        <w:snapToGrid w:val="0"/>
        <w:spacing w:before="156" w:after="156" w:line="360" w:lineRule="auto"/>
        <w:ind w:firstLine="841" w:firstLineChars="294"/>
        <w:rPr>
          <w:rFonts w:ascii="Times New Roman" w:hAnsi="Times New Roman"/>
          <w:b/>
          <w:bCs/>
          <w:w w:val="95"/>
          <w:sz w:val="30"/>
          <w:szCs w:val="30"/>
        </w:rPr>
      </w:pPr>
    </w:p>
    <w:p w14:paraId="2F43B3FA">
      <w:pPr>
        <w:pStyle w:val="9"/>
        <w:snapToGrid w:val="0"/>
        <w:spacing w:before="156" w:after="156" w:line="360" w:lineRule="auto"/>
        <w:ind w:left="0" w:leftChars="0" w:firstLine="0" w:firstLineChars="0"/>
        <w:rPr>
          <w:rFonts w:ascii="Times New Roman" w:hAnsi="Times New Roman"/>
          <w:b/>
          <w:bCs/>
          <w:w w:val="95"/>
          <w:sz w:val="30"/>
          <w:szCs w:val="30"/>
        </w:rPr>
      </w:pPr>
    </w:p>
    <w:p w14:paraId="7C6DBA71">
      <w:pPr>
        <w:pStyle w:val="9"/>
        <w:snapToGrid w:val="0"/>
        <w:spacing w:before="156" w:after="156" w:line="360" w:lineRule="auto"/>
        <w:ind w:firstLine="841" w:firstLineChars="294"/>
        <w:rPr>
          <w:rFonts w:ascii="Times New Roman" w:hAnsi="Times New Roman"/>
          <w:b/>
          <w:bCs/>
          <w:w w:val="95"/>
          <w:sz w:val="30"/>
          <w:szCs w:val="30"/>
        </w:rPr>
      </w:pPr>
    </w:p>
    <w:p w14:paraId="0097066F">
      <w:pPr>
        <w:pStyle w:val="9"/>
        <w:snapToGrid w:val="0"/>
        <w:spacing w:before="156" w:after="156" w:line="360" w:lineRule="auto"/>
        <w:ind w:firstLine="841" w:firstLineChars="294"/>
        <w:rPr>
          <w:rFonts w:ascii="Times New Roman" w:hAnsi="Times New Roman"/>
          <w:b/>
          <w:bCs/>
          <w:w w:val="95"/>
          <w:sz w:val="30"/>
          <w:szCs w:val="30"/>
        </w:rPr>
      </w:pPr>
    </w:p>
    <w:p w14:paraId="2A594A61">
      <w:pPr>
        <w:pStyle w:val="9"/>
        <w:snapToGrid w:val="0"/>
        <w:spacing w:before="156" w:after="156" w:line="360" w:lineRule="auto"/>
        <w:ind w:firstLine="841" w:firstLineChars="294"/>
        <w:rPr>
          <w:rFonts w:ascii="Times New Roman" w:hAnsi="Times New Roman"/>
          <w:b/>
          <w:bCs/>
          <w:w w:val="95"/>
          <w:sz w:val="30"/>
          <w:szCs w:val="30"/>
        </w:rPr>
      </w:pPr>
    </w:p>
    <w:p w14:paraId="120439E5">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0A34B385">
      <w:pPr>
        <w:spacing w:line="440" w:lineRule="exact"/>
        <w:ind w:firstLine="0"/>
        <w:jc w:val="center"/>
        <w:rPr>
          <w:rFonts w:ascii="宋体" w:hAnsi="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6</w:t>
      </w:r>
      <w:r>
        <w:rPr>
          <w:rFonts w:hint="eastAsia"/>
          <w:b/>
          <w:bCs/>
          <w:w w:val="95"/>
          <w:sz w:val="32"/>
          <w:szCs w:val="32"/>
          <w:highlight w:val="none"/>
        </w:rPr>
        <w:t>年</w:t>
      </w:r>
      <w:r>
        <w:rPr>
          <w:rFonts w:hint="eastAsia"/>
          <w:b/>
          <w:bCs/>
          <w:w w:val="95"/>
          <w:sz w:val="32"/>
          <w:szCs w:val="32"/>
          <w:highlight w:val="none"/>
          <w:lang w:val="en-US" w:eastAsia="zh-CN"/>
        </w:rPr>
        <w:t>3</w:t>
      </w:r>
      <w:r>
        <w:rPr>
          <w:rFonts w:hint="eastAsia"/>
          <w:b/>
          <w:bCs/>
          <w:w w:val="95"/>
          <w:sz w:val="32"/>
          <w:szCs w:val="32"/>
          <w:highlight w:val="none"/>
        </w:rPr>
        <w:t>月</w:t>
      </w:r>
    </w:p>
    <w:p w14:paraId="698132E7">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BA973D0">
      <w:pPr>
        <w:numPr>
          <w:ilvl w:val="0"/>
          <w:numId w:val="1"/>
        </w:numPr>
        <w:ind w:firstLine="0"/>
        <w:rPr>
          <w:rFonts w:hint="eastAsia"/>
          <w:b/>
          <w:bCs/>
          <w:szCs w:val="21"/>
          <w:highlight w:val="none"/>
        </w:rPr>
      </w:pPr>
      <w:r>
        <w:rPr>
          <w:rFonts w:hint="eastAsia"/>
          <w:b/>
          <w:bCs/>
          <w:szCs w:val="21"/>
          <w:highlight w:val="none"/>
        </w:rPr>
        <w:t>采购物资：</w:t>
      </w:r>
      <w:bookmarkStart w:id="3" w:name="_GoBack"/>
      <w:r>
        <w:rPr>
          <w:rFonts w:hint="eastAsia"/>
          <w:b/>
          <w:bCs/>
          <w:szCs w:val="21"/>
          <w:highlight w:val="none"/>
          <w:lang w:val="en-US" w:eastAsia="zh-CN"/>
        </w:rPr>
        <w:t>肌电反馈刺激系统</w:t>
      </w:r>
      <w:bookmarkEnd w:id="3"/>
      <w:r>
        <w:rPr>
          <w:rFonts w:hint="eastAsia"/>
          <w:b/>
          <w:bCs/>
          <w:szCs w:val="21"/>
          <w:highlight w:val="none"/>
        </w:rPr>
        <w:t>；采购数量：</w:t>
      </w:r>
      <w:r>
        <w:rPr>
          <w:rFonts w:hint="eastAsia"/>
          <w:b/>
          <w:bCs/>
          <w:szCs w:val="21"/>
          <w:highlight w:val="none"/>
          <w:lang w:val="en-US" w:eastAsia="zh-CN"/>
        </w:rPr>
        <w:t>1个</w:t>
      </w:r>
      <w:r>
        <w:rPr>
          <w:rFonts w:hint="eastAsia"/>
          <w:b/>
          <w:bCs/>
          <w:szCs w:val="21"/>
          <w:highlight w:val="none"/>
        </w:rPr>
        <w:t>；总预算：</w:t>
      </w:r>
      <w:r>
        <w:rPr>
          <w:rFonts w:hint="eastAsia"/>
          <w:b/>
          <w:bCs/>
          <w:szCs w:val="21"/>
          <w:highlight w:val="none"/>
          <w:lang w:val="en-US" w:eastAsia="zh-CN"/>
        </w:rPr>
        <w:t>100000</w:t>
      </w:r>
      <w:r>
        <w:rPr>
          <w:rFonts w:hint="eastAsia"/>
          <w:b/>
          <w:bCs/>
          <w:szCs w:val="21"/>
          <w:highlight w:val="none"/>
        </w:rPr>
        <w:t>元。</w:t>
      </w:r>
    </w:p>
    <w:p w14:paraId="2C4EBD8B">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项目组老师胡佛，联系方式：16789019400</w:t>
      </w:r>
      <w:r>
        <w:rPr>
          <w:rFonts w:hint="eastAsia"/>
          <w:b/>
          <w:bCs/>
          <w:szCs w:val="21"/>
          <w:highlight w:val="none"/>
        </w:rPr>
        <w:t>）</w:t>
      </w:r>
    </w:p>
    <w:tbl>
      <w:tblPr>
        <w:tblStyle w:val="12"/>
        <w:tblW w:w="9524" w:type="dxa"/>
        <w:tblInd w:w="-570" w:type="dxa"/>
        <w:tblLayout w:type="fixed"/>
        <w:tblCellMar>
          <w:top w:w="0" w:type="dxa"/>
          <w:left w:w="108" w:type="dxa"/>
          <w:bottom w:w="0" w:type="dxa"/>
          <w:right w:w="108" w:type="dxa"/>
        </w:tblCellMar>
      </w:tblPr>
      <w:tblGrid>
        <w:gridCol w:w="650"/>
        <w:gridCol w:w="1100"/>
        <w:gridCol w:w="4023"/>
        <w:gridCol w:w="1050"/>
        <w:gridCol w:w="833"/>
        <w:gridCol w:w="934"/>
        <w:gridCol w:w="934"/>
      </w:tblGrid>
      <w:tr w14:paraId="29B84D03">
        <w:tblPrEx>
          <w:tblCellMar>
            <w:top w:w="0" w:type="dxa"/>
            <w:left w:w="108" w:type="dxa"/>
            <w:bottom w:w="0" w:type="dxa"/>
            <w:right w:w="108" w:type="dxa"/>
          </w:tblCellMar>
        </w:tblPrEx>
        <w:trPr>
          <w:trHeight w:val="64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3136418">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7619859">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4023" w:type="dxa"/>
            <w:tcBorders>
              <w:top w:val="single" w:color="000000" w:sz="4" w:space="0"/>
              <w:left w:val="single" w:color="000000" w:sz="4" w:space="0"/>
              <w:bottom w:val="single" w:color="000000" w:sz="4" w:space="0"/>
              <w:right w:val="single" w:color="000000" w:sz="4" w:space="0"/>
            </w:tcBorders>
            <w:noWrap/>
            <w:vAlign w:val="center"/>
          </w:tcPr>
          <w:p w14:paraId="3E783741">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lang w:val="en-US" w:eastAsia="zh-CN"/>
              </w:rPr>
              <w:t>规格</w:t>
            </w:r>
            <w:r>
              <w:rPr>
                <w:rFonts w:hint="eastAsia" w:ascii="宋体" w:hAnsi="宋体" w:cs="宋体"/>
                <w:b/>
                <w:bCs/>
                <w:color w:val="000000"/>
                <w:sz w:val="18"/>
                <w:szCs w:val="18"/>
              </w:rPr>
              <w:t>参数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69C4EA">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60AA200">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7F7FDF1B">
            <w:pPr>
              <w:widowControl/>
              <w:spacing w:line="240" w:lineRule="auto"/>
              <w:ind w:firstLine="0" w:firstLineChars="0"/>
              <w:jc w:val="center"/>
              <w:textAlignment w:val="center"/>
              <w:rPr>
                <w:rFonts w:hint="eastAsia" w:ascii="宋体" w:hAnsi="宋体" w:cs="宋体"/>
                <w:b/>
                <w:bCs/>
                <w:color w:val="000000"/>
                <w:sz w:val="18"/>
                <w:szCs w:val="18"/>
                <w:lang w:val="en-US" w:eastAsia="zh-CN"/>
              </w:rPr>
            </w:pPr>
            <w:r>
              <w:rPr>
                <w:rFonts w:hint="eastAsia" w:ascii="宋体" w:hAnsi="宋体" w:cs="宋体"/>
                <w:b/>
                <w:bCs/>
                <w:color w:val="000000"/>
                <w:sz w:val="18"/>
                <w:szCs w:val="18"/>
              </w:rPr>
              <w:t>最高单价（元）</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55122DB7">
            <w:pPr>
              <w:widowControl/>
              <w:spacing w:line="240" w:lineRule="auto"/>
              <w:ind w:firstLine="0" w:firstLineChars="0"/>
              <w:jc w:val="center"/>
              <w:textAlignment w:val="center"/>
              <w:rPr>
                <w:rFonts w:hint="eastAsia" w:ascii="宋体" w:hAnsi="宋体" w:cs="宋体"/>
                <w:b/>
                <w:bCs/>
                <w:color w:val="000000"/>
                <w:sz w:val="18"/>
                <w:szCs w:val="18"/>
                <w:lang w:val="en-US" w:eastAsia="zh-CN"/>
              </w:rPr>
            </w:pPr>
            <w:r>
              <w:rPr>
                <w:rFonts w:hint="eastAsia" w:ascii="宋体" w:hAnsi="宋体" w:cs="宋体"/>
                <w:b/>
                <w:bCs/>
                <w:color w:val="000000"/>
                <w:sz w:val="18"/>
                <w:szCs w:val="18"/>
              </w:rPr>
              <w:t>总价（元）</w:t>
            </w:r>
          </w:p>
        </w:tc>
      </w:tr>
      <w:tr w14:paraId="2B174C06">
        <w:tblPrEx>
          <w:tblCellMar>
            <w:top w:w="0" w:type="dxa"/>
            <w:left w:w="108" w:type="dxa"/>
            <w:bottom w:w="0" w:type="dxa"/>
            <w:right w:w="108" w:type="dxa"/>
          </w:tblCellMar>
        </w:tblPrEx>
        <w:trPr>
          <w:trHeight w:val="3254"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44658E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148CCB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肌电反馈刺激系统</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680DF0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为持续推进项目，需实现功能性电刺激的硬件化与系统集成，用于支撑运动增强与训练干预场景：构建统一时钟与触发的同步控制体系，实现刺激时序的精确对齐与低时延触发，支持与脑电/肌电等信号的协同记录与闭环触发验证。为满足实验任务及运动功能增强应用需求，拟采购一套肌电反馈刺激系统，用于实现多通道可编程刺激参数配置、低时延外部触发/联动控制，以及系统级联调与安全性验证，形成面向运动增强应用的可复用技术平台。</w:t>
            </w:r>
          </w:p>
          <w:p w14:paraId="45331118">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b/>
                <w:bCs/>
                <w:sz w:val="18"/>
                <w:szCs w:val="18"/>
              </w:rPr>
            </w:pPr>
            <w:r>
              <w:rPr>
                <w:rFonts w:hint="eastAsia"/>
                <w:b/>
                <w:bCs/>
                <w:sz w:val="18"/>
                <w:szCs w:val="18"/>
              </w:rPr>
              <w:t>功能与技术参数:</w:t>
            </w:r>
          </w:p>
          <w:p w14:paraId="0A4A1F05">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通信方式：采用 WIFI无线通信方式与上位机/工作站连接。</w:t>
            </w:r>
          </w:p>
          <w:p w14:paraId="725CC931">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通信距离：无线通信距离不少于 30 m。</w:t>
            </w:r>
          </w:p>
          <w:p w14:paraId="2C3A52BF">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可控通道数：系统支持不少于 8通道可控（含采集与刺激相关通道的可编程控制能力）。</w:t>
            </w:r>
          </w:p>
          <w:p w14:paraId="5BD576BE">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供电方式：内置可充电锂电池供电，连续工作时间不少于 10小时，满足长时实验与移动使用需求。</w:t>
            </w:r>
          </w:p>
          <w:p w14:paraId="1706052D">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同步性能：支持同步采集肌电并输出电刺激，可实现同时采集与同时输出；支持多种模式，包括但不限于：触发电刺激模式、助力电刺激模式、镜像电刺激模式。</w:t>
            </w:r>
          </w:p>
          <w:p w14:paraId="2BEA2071">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肌电采集模块：</w:t>
            </w:r>
          </w:p>
          <w:p w14:paraId="2586EAE2">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6.1 肌电采样率：支持 1000 / 2000 / 4000 Hz可选；</w:t>
            </w:r>
          </w:p>
          <w:p w14:paraId="6DA30FD8">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6.2 共模抑制比（CMRR）：不小于 110 dB；</w:t>
            </w:r>
          </w:p>
          <w:p w14:paraId="64E7D52A">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6.3 输入阻抗：不小于 1 GΩ；</w:t>
            </w:r>
          </w:p>
          <w:p w14:paraId="1BAACCAB">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6.4 数模分辨率：不少于 24 bits。</w:t>
            </w:r>
          </w:p>
          <w:p w14:paraId="694D8A96">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电刺激模块：</w:t>
            </w:r>
          </w:p>
          <w:p w14:paraId="05294CDD">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7.1 电流分辨率：≤ 0.5 mA；</w:t>
            </w:r>
          </w:p>
          <w:p w14:paraId="4A3CF8B0">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7.2 电流波形：支持双相对称方波、双相非对称方波；</w:t>
            </w:r>
          </w:p>
          <w:p w14:paraId="50204C58">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7.3 可调频率范围：1–100 Hz；</w:t>
            </w:r>
          </w:p>
          <w:p w14:paraId="42A1FFDE">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7.4 可调幅值范围：1–100 mA；</w:t>
            </w:r>
          </w:p>
          <w:p w14:paraId="473C5617">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7.5 可调脉冲宽度：1–500 μs；</w:t>
            </w:r>
          </w:p>
          <w:p w14:paraId="34E68F1A">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7.6 多通道同步刺激：支持多通道同步刺激；</w:t>
            </w:r>
          </w:p>
          <w:p w14:paraId="27F777A5">
            <w:pPr>
              <w:keepNext w:val="0"/>
              <w:keepLines w:val="0"/>
              <w:pageBreakBefore w:val="0"/>
              <w:numPr>
                <w:ilvl w:val="0"/>
                <w:numId w:val="0"/>
              </w:numPr>
              <w:kinsoku/>
              <w:wordWrap/>
              <w:overflowPunct/>
              <w:topLinePunct w:val="0"/>
              <w:autoSpaceDE/>
              <w:autoSpaceDN/>
              <w:bidi w:val="0"/>
              <w:adjustRightInd/>
              <w:snapToGrid/>
              <w:spacing w:line="240" w:lineRule="exact"/>
              <w:ind w:leftChars="0" w:firstLine="180" w:firstLineChars="10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7.7 电刺激配置方式：采用独立理疗电极刺激方式，便于快速部署与临床场景适配。</w:t>
            </w:r>
          </w:p>
          <w:p w14:paraId="06B6F839">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提供SDK包与二次开发能力：提供SDK，支持二次开发；可通过开发包对幅值、频率、脉宽、通道、波形、刺激周期等参数进行设置；支持在多种开发环境下调用，包括但不限于 Visual Studio、Python、Matlab。</w:t>
            </w:r>
          </w:p>
          <w:p w14:paraId="28352FC1">
            <w:pPr>
              <w:keepNext w:val="0"/>
              <w:keepLines w:val="0"/>
              <w:pageBreakBefore w:val="0"/>
              <w:numPr>
                <w:ilvl w:val="0"/>
                <w:numId w:val="3"/>
              </w:numPr>
              <w:kinsoku/>
              <w:wordWrap/>
              <w:overflowPunct/>
              <w:topLinePunct w:val="0"/>
              <w:autoSpaceDE/>
              <w:autoSpaceDN/>
              <w:bidi w:val="0"/>
              <w:adjustRightInd/>
              <w:snapToGrid/>
              <w:spacing w:line="240" w:lineRule="exact"/>
              <w:ind w:left="0" w:leftChars="0" w:firstLine="0" w:firstLineChars="0"/>
              <w:rPr>
                <w:rFonts w:hint="default"/>
                <w:b w:val="0"/>
                <w:bCs w:val="0"/>
                <w:sz w:val="18"/>
                <w:szCs w:val="18"/>
                <w:lang w:val="en-US" w:eastAsia="zh-CN"/>
              </w:rPr>
            </w:pPr>
            <w:r>
              <w:rPr>
                <w:rFonts w:hint="default" w:ascii="Times New Roman" w:hAnsi="Times New Roman" w:eastAsia="宋体" w:cs="Times New Roman"/>
                <w:b w:val="0"/>
                <w:bCs w:val="0"/>
                <w:sz w:val="18"/>
                <w:szCs w:val="18"/>
                <w:lang w:val="en-US" w:eastAsia="zh-CN"/>
              </w:rPr>
              <w:t>便携性：设备小巧便携、便于佩戴，适用于实验室与移动场景的测试与验证。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6A48CC">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D4A44EB">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个</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A376E45">
            <w:pPr>
              <w:keepNext w:val="0"/>
              <w:keepLines w:val="0"/>
              <w:widowControl/>
              <w:suppressLineNumbers w:val="0"/>
              <w:spacing w:line="240" w:lineRule="auto"/>
              <w:ind w:left="0" w:leftChars="0" w:firstLine="0" w:firstLineChars="0"/>
              <w:jc w:val="both"/>
              <w:textAlignment w:val="center"/>
              <w:rPr>
                <w:rFonts w:hint="eastAsia" w:ascii="宋体" w:hAnsi="宋体" w:cs="宋体"/>
                <w:b w:val="0"/>
                <w:bCs w:val="0"/>
                <w:color w:val="000000"/>
                <w:sz w:val="18"/>
                <w:szCs w:val="18"/>
                <w:lang w:val="en-US" w:eastAsia="zh-CN"/>
              </w:rPr>
            </w:pPr>
            <w:r>
              <w:rPr>
                <w:rFonts w:hint="eastAsia"/>
                <w:b w:val="0"/>
                <w:bCs w:val="0"/>
                <w:szCs w:val="21"/>
                <w:highlight w:val="none"/>
                <w:lang w:val="en-US" w:eastAsia="zh-CN"/>
              </w:rPr>
              <w:t>100000</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215A175A">
            <w:pPr>
              <w:keepNext w:val="0"/>
              <w:keepLines w:val="0"/>
              <w:widowControl/>
              <w:suppressLineNumbers w:val="0"/>
              <w:spacing w:line="240" w:lineRule="auto"/>
              <w:ind w:left="0" w:leftChars="0" w:firstLine="0" w:firstLineChars="0"/>
              <w:jc w:val="both"/>
              <w:textAlignment w:val="center"/>
              <w:rPr>
                <w:rFonts w:hint="eastAsia" w:ascii="宋体" w:hAnsi="宋体" w:cs="宋体"/>
                <w:b w:val="0"/>
                <w:bCs w:val="0"/>
                <w:color w:val="000000"/>
                <w:sz w:val="18"/>
                <w:szCs w:val="18"/>
                <w:lang w:val="en-US" w:eastAsia="zh-CN"/>
              </w:rPr>
            </w:pPr>
            <w:r>
              <w:rPr>
                <w:rFonts w:hint="eastAsia"/>
                <w:b w:val="0"/>
                <w:bCs w:val="0"/>
                <w:szCs w:val="21"/>
                <w:highlight w:val="none"/>
                <w:lang w:val="en-US" w:eastAsia="zh-CN"/>
              </w:rPr>
              <w:t>100000</w:t>
            </w:r>
          </w:p>
        </w:tc>
      </w:tr>
    </w:tbl>
    <w:p w14:paraId="0885477A">
      <w:pPr>
        <w:ind w:firstLine="0"/>
        <w:rPr>
          <w:rFonts w:hint="eastAsia"/>
          <w:b/>
          <w:bCs/>
          <w:szCs w:val="21"/>
        </w:rPr>
      </w:pPr>
    </w:p>
    <w:p w14:paraId="0A3DBE79">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left"/>
        <w:textAlignment w:val="auto"/>
        <w:outlineLvl w:val="1"/>
        <w:rPr>
          <w:color w:val="000000"/>
        </w:rPr>
      </w:pPr>
      <w:r>
        <w:rPr>
          <w:rFonts w:hint="eastAsia" w:ascii="微软雅黑" w:hAnsi="微软雅黑" w:eastAsia="微软雅黑" w:cs="宋体"/>
          <w:b/>
          <w:bCs/>
          <w:sz w:val="36"/>
          <w:szCs w:val="36"/>
        </w:rPr>
        <w:t>二、相关要求</w:t>
      </w:r>
    </w:p>
    <w:p w14:paraId="0842D3D2">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bookmarkStart w:id="0" w:name="bookmark2"/>
      <w:bookmarkStart w:id="1" w:name="bookmark1"/>
      <w:bookmarkStart w:id="2" w:name="bookmark0"/>
      <w:r>
        <w:rPr>
          <w:rFonts w:hint="eastAsia" w:ascii="宋体" w:hAnsi="宋体"/>
          <w:lang w:val="en-US" w:eastAsia="zh-CN"/>
        </w:rPr>
        <w:t>1.</w:t>
      </w:r>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w:t>
      </w:r>
      <w:r>
        <w:rPr>
          <w:rFonts w:hint="eastAsia" w:ascii="宋体" w:hAnsi="宋体" w:eastAsia="宋体" w:cs="宋体"/>
          <w:szCs w:val="21"/>
          <w:highlight w:val="none"/>
        </w:rPr>
        <w:t>、保险费、安装调试费、技术服务费、培训费以及保修费、税费等一切费用。</w:t>
      </w:r>
    </w:p>
    <w:p w14:paraId="33447A28">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质保期：验收合格后，提供不少于</w:t>
      </w:r>
      <w:r>
        <w:rPr>
          <w:rFonts w:hint="eastAsia" w:ascii="宋体" w:hAnsi="宋体" w:cs="宋体"/>
          <w:sz w:val="22"/>
          <w:szCs w:val="22"/>
          <w:highlight w:val="none"/>
          <w:lang w:val="en-US" w:eastAsia="zh-CN"/>
        </w:rPr>
        <w:t>3</w:t>
      </w:r>
      <w:r>
        <w:rPr>
          <w:rFonts w:hint="eastAsia" w:ascii="宋体" w:hAnsi="宋体" w:cs="宋体"/>
          <w:sz w:val="22"/>
          <w:szCs w:val="22"/>
          <w:highlight w:val="none"/>
        </w:rPr>
        <w:t>年的免费产品质保</w:t>
      </w:r>
      <w:r>
        <w:rPr>
          <w:rFonts w:hint="eastAsia" w:ascii="宋体" w:hAnsi="宋体" w:cs="宋体"/>
          <w:szCs w:val="21"/>
          <w:highlight w:val="none"/>
        </w:rPr>
        <w:t>。</w:t>
      </w:r>
    </w:p>
    <w:p w14:paraId="1A9B0E9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供货期：合同签订后，</w:t>
      </w:r>
      <w:r>
        <w:rPr>
          <w:rFonts w:hint="eastAsia" w:ascii="宋体" w:hAnsi="宋体" w:cs="宋体"/>
          <w:szCs w:val="21"/>
          <w:highlight w:val="none"/>
          <w:lang w:val="en-US" w:eastAsia="zh-CN"/>
        </w:rPr>
        <w:t>供应商应在3个月内完成开发工作，并安装部署试运行</w:t>
      </w:r>
      <w:r>
        <w:rPr>
          <w:rFonts w:hint="eastAsia" w:ascii="宋体" w:hAnsi="宋体" w:cs="宋体"/>
          <w:szCs w:val="21"/>
          <w:highlight w:val="none"/>
        </w:rPr>
        <w:t xml:space="preserve">。 </w:t>
      </w:r>
    </w:p>
    <w:p w14:paraId="570A7CF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售后服务：</w:t>
      </w:r>
    </w:p>
    <w:p w14:paraId="35A3482B">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b w:val="0"/>
          <w:bCs w:val="0"/>
          <w:highlight w:val="none"/>
          <w:lang w:val="en-US" w:eastAsia="zh-CN"/>
        </w:rPr>
      </w:pPr>
      <w:r>
        <w:rPr>
          <w:rFonts w:hint="eastAsia" w:ascii="宋体" w:hAnsi="宋体" w:cs="宋体"/>
          <w:b w:val="0"/>
          <w:bCs w:val="0"/>
          <w:highlight w:val="none"/>
          <w:lang w:val="en-US" w:eastAsia="zh-CN"/>
        </w:rPr>
        <w:t>4.1技术支持：</w:t>
      </w:r>
      <w:r>
        <w:rPr>
          <w:rFonts w:hint="eastAsia"/>
          <w:lang w:val="en-US" w:eastAsia="zh-CN"/>
        </w:rPr>
        <w:t>脑肌电同步算法技术支持和维护，</w:t>
      </w:r>
    </w:p>
    <w:p w14:paraId="6F5637E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4.2</w:t>
      </w:r>
      <w:r>
        <w:rPr>
          <w:rFonts w:hint="eastAsia" w:ascii="宋体" w:hAnsi="宋体" w:eastAsia="宋体" w:cs="宋体"/>
          <w:b w:val="0"/>
          <w:bCs w:val="0"/>
          <w:highlight w:val="none"/>
        </w:rPr>
        <w:t>响应时间：提供全年7×12小时（8：00-20：00）服务（电话、远程或现场），</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小时内响应报修，需现场处理的故障在接到招标人通知后</w:t>
      </w:r>
      <w:r>
        <w:rPr>
          <w:rFonts w:hint="eastAsia" w:ascii="宋体" w:hAnsi="宋体" w:cs="宋体"/>
          <w:b w:val="0"/>
          <w:bCs w:val="0"/>
          <w:highlight w:val="none"/>
          <w:lang w:val="en-US" w:eastAsia="zh-CN"/>
        </w:rPr>
        <w:t>48</w:t>
      </w:r>
      <w:r>
        <w:rPr>
          <w:rFonts w:hint="eastAsia" w:ascii="宋体" w:hAnsi="宋体" w:eastAsia="宋体" w:cs="宋体"/>
          <w:b w:val="0"/>
          <w:bCs w:val="0"/>
          <w:highlight w:val="none"/>
        </w:rPr>
        <w:t>小时内到达现场。</w:t>
      </w:r>
    </w:p>
    <w:p w14:paraId="7385F76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宋体"/>
          <w:b w:val="0"/>
          <w:bCs w:val="0"/>
          <w:highlight w:val="none"/>
          <w:lang w:val="en-US" w:eastAsia="zh-CN"/>
        </w:rPr>
        <w:t>4.3</w:t>
      </w:r>
      <w:r>
        <w:rPr>
          <w:rFonts w:hint="eastAsia" w:ascii="宋体" w:hAnsi="宋体" w:eastAsia="宋体" w:cs="宋体"/>
          <w:b w:val="0"/>
          <w:bCs w:val="0"/>
          <w:highlight w:val="none"/>
        </w:rPr>
        <w:t xml:space="preserve">保修内容： </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保修期内免费升级</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软</w:t>
      </w:r>
      <w:r>
        <w:rPr>
          <w:rFonts w:hint="eastAsia" w:ascii="宋体" w:hAnsi="宋体" w:cs="宋体"/>
          <w:b w:val="0"/>
          <w:bCs w:val="0"/>
          <w:highlight w:val="none"/>
          <w:lang w:val="en-US" w:eastAsia="zh-CN"/>
        </w:rPr>
        <w:t>硬</w:t>
      </w:r>
      <w:r>
        <w:rPr>
          <w:rFonts w:hint="eastAsia" w:ascii="宋体" w:hAnsi="宋体" w:eastAsia="宋体" w:cs="宋体"/>
          <w:b w:val="0"/>
          <w:bCs w:val="0"/>
          <w:highlight w:val="none"/>
        </w:rPr>
        <w:t>件的功能增强性维护等应用软件系统扩充升级（其中包括系统维护、跟踪检测），保证软件正常运行。</w:t>
      </w:r>
    </w:p>
    <w:p w14:paraId="7E97EF79">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Times New Roman"/>
          <w:b w:val="0"/>
          <w:bCs w:val="0"/>
          <w:highlight w:val="none"/>
          <w:lang w:val="en-US" w:eastAsia="zh-CN"/>
        </w:rPr>
        <w:t>5.验收、安装部署</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672264D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cs="Times New Roman"/>
          <w:b w:val="0"/>
          <w:bCs w:val="0"/>
          <w:highlight w:val="none"/>
          <w:lang w:val="en-US" w:eastAsia="zh-CN"/>
        </w:rPr>
        <w:t>6.</w:t>
      </w: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需求人胡佛老师，联系方式：16789019400。</w:t>
      </w:r>
    </w:p>
    <w:p w14:paraId="03296DD6">
      <w:pPr>
        <w:widowControl/>
        <w:spacing w:line="240" w:lineRule="auto"/>
        <w:ind w:firstLine="0"/>
        <w:jc w:val="left"/>
        <w:outlineLvl w:val="1"/>
        <w:rPr>
          <w:rFonts w:hint="eastAsia" w:ascii="微软雅黑" w:hAnsi="微软雅黑" w:eastAsia="微软雅黑" w:cs="宋体"/>
          <w:b/>
          <w:bCs/>
          <w:sz w:val="36"/>
          <w:szCs w:val="36"/>
          <w:lang w:eastAsia="zh-CN"/>
        </w:rPr>
      </w:pPr>
    </w:p>
    <w:p w14:paraId="18F6C13C">
      <w:pPr>
        <w:widowControl/>
        <w:spacing w:line="240" w:lineRule="auto"/>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46469453">
      <w:pPr>
        <w:keepNext w:val="0"/>
        <w:keepLines w:val="0"/>
        <w:pageBreakBefore w:val="0"/>
        <w:widowControl/>
        <w:kinsoku/>
        <w:wordWrap/>
        <w:overflowPunct/>
        <w:topLinePunct w:val="0"/>
        <w:autoSpaceDE/>
        <w:autoSpaceDN/>
        <w:bidi w:val="0"/>
        <w:adjustRightInd/>
        <w:snapToGrid/>
        <w:spacing w:line="520" w:lineRule="exact"/>
        <w:ind w:left="0" w:leftChars="0" w:firstLine="422" w:firstLineChars="200"/>
        <w:jc w:val="left"/>
        <w:textAlignment w:val="auto"/>
        <w:outlineLvl w:val="1"/>
        <w:rPr>
          <w:b/>
          <w:color w:val="auto"/>
        </w:rPr>
      </w:pPr>
      <w:r>
        <w:rPr>
          <w:rFonts w:hint="eastAsia" w:ascii="宋体" w:hAnsi="宋体"/>
          <w:b/>
          <w:color w:val="auto"/>
          <w:lang w:val="en-US" w:eastAsia="zh-CN"/>
        </w:rPr>
        <w:t>（一）供应商资质要求：</w:t>
      </w:r>
    </w:p>
    <w:p w14:paraId="20A69469">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1、</w:t>
      </w:r>
      <w:r>
        <w:rPr>
          <w:rFonts w:hint="eastAsia"/>
          <w:b/>
          <w:color w:val="auto"/>
        </w:rPr>
        <w:t>满足《中国人民共和国政府采购法》第二十二条规定。</w:t>
      </w:r>
    </w:p>
    <w:p w14:paraId="17F1E114">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具有独立承担民事责任的能力；</w:t>
      </w:r>
    </w:p>
    <w:p w14:paraId="67A4F79D">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具有良好的商业信誉和健全的财务会计制度；</w:t>
      </w:r>
    </w:p>
    <w:p w14:paraId="2E06E3B5">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具有履行合同所必需的设备和专业技术能力；</w:t>
      </w:r>
    </w:p>
    <w:p w14:paraId="746C5D73">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有依法缴纳税收和社会保障资金的良好记录；</w:t>
      </w:r>
    </w:p>
    <w:p w14:paraId="2276C79A">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法律、行政法规规定的其他条件。</w:t>
      </w:r>
    </w:p>
    <w:p w14:paraId="54F7FB5F">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2、</w:t>
      </w:r>
      <w:r>
        <w:rPr>
          <w:rFonts w:hint="eastAsia"/>
          <w:b/>
          <w:color w:val="auto"/>
        </w:rPr>
        <w:t>未被“信用中国”（www.creditchina.gov.cn）、中国政府采购网（www.ccgp.gov.cn）列入失信被执行人、重大税收违法案件当事人名单、政府采购严重违法失信行为记录名单。</w:t>
      </w:r>
    </w:p>
    <w:p w14:paraId="7F7BC8F2">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default" w:eastAsia="宋体"/>
          <w:b/>
          <w:color w:val="auto"/>
          <w:lang w:val="en-US" w:eastAsia="zh-CN"/>
        </w:rPr>
      </w:pPr>
      <w:r>
        <w:rPr>
          <w:rFonts w:hint="eastAsia"/>
          <w:b/>
          <w:color w:val="auto"/>
          <w:lang w:val="en-US" w:eastAsia="zh-CN"/>
        </w:rPr>
        <w:t>3、供应商应具有相关业务能力证明其可承担项目实施；</w:t>
      </w:r>
    </w:p>
    <w:p w14:paraId="40F1DC15">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ascii="宋体" w:hAnsi="宋体"/>
          <w:b/>
          <w:color w:val="auto"/>
          <w:lang w:eastAsia="zh-CN"/>
        </w:rPr>
        <w:t>（</w:t>
      </w:r>
      <w:r>
        <w:rPr>
          <w:rFonts w:hint="eastAsia" w:ascii="宋体" w:hAnsi="宋体"/>
          <w:b/>
          <w:color w:val="auto"/>
          <w:lang w:val="en-US" w:eastAsia="zh-CN"/>
        </w:rPr>
        <w:t>二</w:t>
      </w:r>
      <w:r>
        <w:rPr>
          <w:rFonts w:hint="eastAsia" w:ascii="宋体" w:hAnsi="宋体"/>
          <w:b/>
          <w:color w:val="auto"/>
          <w:lang w:eastAsia="zh-CN"/>
        </w:rPr>
        <w:t>）</w:t>
      </w:r>
      <w:r>
        <w:rPr>
          <w:rFonts w:hint="eastAsia" w:ascii="宋体" w:hAnsi="宋体"/>
          <w:b/>
          <w:color w:val="auto"/>
        </w:rPr>
        <w:t>所有报价供应商均为认同并遵守本在线询价中的所有要求。</w:t>
      </w:r>
    </w:p>
    <w:p w14:paraId="071C71EF">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b/>
          <w:color w:val="auto"/>
          <w:lang w:eastAsia="zh-CN"/>
        </w:rPr>
        <w:t>（</w:t>
      </w:r>
      <w:r>
        <w:rPr>
          <w:rFonts w:hint="eastAsia"/>
          <w:b/>
          <w:color w:val="auto"/>
          <w:lang w:val="en-US" w:eastAsia="zh-CN"/>
        </w:rPr>
        <w:t>1</w:t>
      </w:r>
      <w:r>
        <w:rPr>
          <w:rFonts w:hint="eastAsia"/>
          <w:b/>
          <w:color w:val="auto"/>
          <w:lang w:eastAsia="zh-CN"/>
        </w:rPr>
        <w:t>）</w:t>
      </w:r>
      <w:r>
        <w:rPr>
          <w:rFonts w:hint="eastAsia"/>
          <w:b/>
          <w:color w:val="auto"/>
        </w:rPr>
        <w:t>中标供应商如因自身原因放弃项目的中标资格或者拒签合同的，原则上不得参加对该项目重新开展的采购活动。</w:t>
      </w:r>
    </w:p>
    <w:p w14:paraId="6E44381D">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ascii="宋体" w:hAnsi="宋体"/>
          <w:b/>
          <w:color w:val="auto"/>
          <w:lang w:eastAsia="zh-CN"/>
        </w:rPr>
        <w:t>（</w:t>
      </w:r>
      <w:r>
        <w:rPr>
          <w:rFonts w:hint="eastAsia" w:ascii="宋体" w:hAnsi="宋体"/>
          <w:b/>
          <w:color w:val="auto"/>
          <w:lang w:val="en-US" w:eastAsia="zh-CN"/>
        </w:rPr>
        <w:t>2</w:t>
      </w:r>
      <w:r>
        <w:rPr>
          <w:rFonts w:hint="eastAsia" w:ascii="宋体" w:hAnsi="宋体"/>
          <w:b/>
          <w:color w:val="auto"/>
          <w:lang w:eastAsia="zh-CN"/>
        </w:rPr>
        <w:t>）</w:t>
      </w:r>
      <w:r>
        <w:rPr>
          <w:rFonts w:hint="eastAsia" w:ascii="宋体" w:hAnsi="宋体"/>
          <w:b/>
          <w:color w:val="auto"/>
        </w:rPr>
        <w:t>针对上述要求，报价单位必须认真审核本在线询价采购文件中的所有要求。</w:t>
      </w:r>
    </w:p>
    <w:p w14:paraId="16E6805D">
      <w:pPr>
        <w:tabs>
          <w:tab w:val="left" w:pos="-200"/>
          <w:tab w:val="left" w:pos="0"/>
        </w:tabs>
        <w:spacing w:line="240" w:lineRule="auto"/>
        <w:ind w:firstLine="0"/>
        <w:rPr>
          <w:rFonts w:hint="eastAsia" w:ascii="宋体" w:hAnsi="宋体"/>
          <w:b/>
          <w:color w:val="auto"/>
          <w:highlight w:val="none"/>
        </w:rPr>
      </w:pPr>
    </w:p>
    <w:p w14:paraId="13C887A3">
      <w:pPr>
        <w:tabs>
          <w:tab w:val="left" w:pos="-200"/>
          <w:tab w:val="left" w:pos="0"/>
        </w:tabs>
        <w:spacing w:line="360" w:lineRule="auto"/>
        <w:rPr>
          <w:rFonts w:hint="eastAsia" w:ascii="宋体" w:hAnsi="宋体"/>
          <w:b/>
          <w:color w:val="auto"/>
          <w:highlight w:val="none"/>
        </w:rPr>
      </w:pPr>
      <w:r>
        <w:rPr>
          <w:rFonts w:hint="eastAsia" w:ascii="宋体" w:hAnsi="宋体"/>
          <w:b/>
          <w:color w:val="auto"/>
          <w:highlight w:val="none"/>
        </w:rPr>
        <w:t>报价供应商需</w:t>
      </w:r>
      <w:r>
        <w:rPr>
          <w:rFonts w:hint="eastAsia" w:ascii="宋体" w:hAnsi="宋体"/>
          <w:b/>
          <w:color w:val="auto"/>
          <w:highlight w:val="none"/>
          <w:lang w:val="en-US" w:eastAsia="zh-CN"/>
        </w:rPr>
        <w:t>将</w:t>
      </w:r>
      <w:r>
        <w:rPr>
          <w:rFonts w:hint="eastAsia" w:asciiTheme="majorEastAsia" w:hAnsiTheme="majorEastAsia" w:eastAsiaTheme="majorEastAsia" w:cstheme="majorEastAsia"/>
          <w:b/>
          <w:bCs/>
          <w:sz w:val="21"/>
          <w:szCs w:val="21"/>
          <w:highlight w:val="cyan"/>
          <w:lang w:val="en-US" w:eastAsia="zh-CN"/>
        </w:rPr>
        <w:t>加盖公章的合格有效的企业营业执照复印件、</w:t>
      </w:r>
      <w:r>
        <w:rPr>
          <w:rFonts w:hint="eastAsia" w:ascii="宋体" w:hAnsi="宋体"/>
          <w:b/>
          <w:bCs/>
          <w:highlight w:val="cyan"/>
        </w:rPr>
        <w:t>相</w:t>
      </w:r>
      <w:r>
        <w:rPr>
          <w:rFonts w:hint="eastAsia" w:ascii="宋体" w:hAnsi="宋体"/>
          <w:b/>
          <w:highlight w:val="cyan"/>
        </w:rPr>
        <w:t>关</w:t>
      </w:r>
      <w:r>
        <w:rPr>
          <w:rFonts w:hint="eastAsia" w:ascii="宋体" w:hAnsi="宋体"/>
          <w:b/>
          <w:highlight w:val="cyan"/>
          <w:lang w:val="en-US" w:eastAsia="zh-CN"/>
        </w:rPr>
        <w:t>业绩证明</w:t>
      </w:r>
      <w:r>
        <w:rPr>
          <w:rFonts w:hint="eastAsia" w:ascii="宋体" w:hAnsi="宋体"/>
          <w:b/>
          <w:highlight w:val="cyan"/>
          <w:lang w:eastAsia="zh-CN"/>
        </w:rPr>
        <w:t>、</w:t>
      </w:r>
      <w:r>
        <w:rPr>
          <w:rFonts w:hint="eastAsia" w:ascii="宋体" w:hAnsi="宋体"/>
          <w:b/>
          <w:highlight w:val="cyan"/>
        </w:rPr>
        <w:t>报价单（附件</w:t>
      </w:r>
      <w:r>
        <w:rPr>
          <w:rFonts w:hint="eastAsia" w:ascii="宋体" w:hAnsi="宋体"/>
          <w:b/>
          <w:highlight w:val="cyan"/>
          <w:lang w:val="en-US" w:eastAsia="zh-CN"/>
        </w:rPr>
        <w:t>2</w:t>
      </w:r>
      <w:r>
        <w:rPr>
          <w:rFonts w:hint="eastAsia" w:ascii="宋体" w:hAnsi="宋体"/>
          <w:b/>
          <w:highlight w:val="cyan"/>
        </w:rPr>
        <w:t>）</w:t>
      </w:r>
      <w:r>
        <w:rPr>
          <w:rFonts w:hint="eastAsia" w:ascii="宋体" w:hAnsi="宋体"/>
          <w:b/>
          <w:highlight w:val="cyan"/>
          <w:lang w:val="en-US" w:eastAsia="zh-CN"/>
        </w:rPr>
        <w:t>及其他证明能力的资料</w:t>
      </w:r>
      <w:r>
        <w:rPr>
          <w:rFonts w:hint="eastAsia" w:ascii="宋体" w:hAnsi="宋体"/>
          <w:b/>
          <w:color w:val="auto"/>
          <w:highlight w:val="none"/>
          <w:lang w:val="en-US" w:eastAsia="zh-CN"/>
        </w:rPr>
        <w:t>文件发送至邮箱zdwzyjy2023@163.com，</w:t>
      </w:r>
      <w:r>
        <w:rPr>
          <w:rFonts w:hint="eastAsia" w:ascii="宋体" w:hAnsi="宋体"/>
          <w:b/>
          <w:color w:val="auto"/>
          <w:highlight w:val="none"/>
        </w:rPr>
        <w:t>未按要求提交的供应商，采购人可按无效响应处理。</w:t>
      </w:r>
    </w:p>
    <w:p w14:paraId="2F610A76">
      <w:pPr>
        <w:tabs>
          <w:tab w:val="left" w:pos="-200"/>
          <w:tab w:val="left" w:pos="0"/>
        </w:tabs>
        <w:spacing w:line="360" w:lineRule="auto"/>
        <w:rPr>
          <w:rFonts w:hint="eastAsia" w:ascii="宋体" w:hAnsi="宋体"/>
          <w:b/>
          <w:color w:val="auto"/>
          <w:highlight w:val="none"/>
        </w:rPr>
      </w:pPr>
    </w:p>
    <w:p w14:paraId="31FF58F0">
      <w:pPr>
        <w:ind w:left="0" w:leftChars="0" w:firstLine="0" w:firstLineChars="0"/>
        <w:rPr>
          <w:rFonts w:hint="eastAsia"/>
          <w:w w:val="95"/>
          <w:lang w:val="en-US" w:eastAsia="zh-CN"/>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F747A6-E1CE-43CD-AC23-9BEE1A75B5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04D14FFC-930C-4C46-9C66-8FD2677F619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5DB2">
    <w:pPr>
      <w:pStyle w:val="10"/>
      <w:jc w:val="center"/>
    </w:pPr>
  </w:p>
  <w:p w14:paraId="7EF6680F">
    <w:pPr>
      <w:pStyle w:val="10"/>
    </w:pPr>
  </w:p>
  <w:p w14:paraId="703E08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2906">
    <w:pPr>
      <w:pStyle w:val="10"/>
      <w:jc w:val="right"/>
      <w:rPr>
        <w:rFonts w:hint="eastAsia"/>
      </w:rPr>
    </w:pPr>
  </w:p>
  <w:p w14:paraId="77BA63A2">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002">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354D">
    <w:pPr>
      <w:pStyle w:val="10"/>
      <w:jc w:val="right"/>
      <w:rPr>
        <w:rFonts w:hint="eastAsia"/>
      </w:rPr>
    </w:pPr>
  </w:p>
  <w:p w14:paraId="6DF51BF0">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4DD7">
    <w:pPr>
      <w:pStyle w:val="11"/>
      <w:pBdr>
        <w:bottom w:val="none" w:color="auto" w:sz="0" w:space="1"/>
      </w:pBdr>
    </w:pPr>
  </w:p>
  <w:p w14:paraId="79827FFB">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80">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B2118">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1F0B211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B464">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45632">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2BE45632">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7B0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A84A9C79"/>
    <w:multiLevelType w:val="singleLevel"/>
    <w:tmpl w:val="A84A9C79"/>
    <w:lvl w:ilvl="0" w:tentative="0">
      <w:start w:val="1"/>
      <w:numFmt w:val="decimal"/>
      <w:lvlText w:val="%1)"/>
      <w:lvlJc w:val="left"/>
      <w:pPr>
        <w:tabs>
          <w:tab w:val="left" w:pos="312"/>
        </w:tabs>
      </w:pPr>
    </w:lvl>
  </w:abstractNum>
  <w:abstractNum w:abstractNumId="2">
    <w:nsid w:val="292788EF"/>
    <w:multiLevelType w:val="multilevel"/>
    <w:tmpl w:val="292788EF"/>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OWQxOWY3NzZjOGQ3MTNlYTQ4ZjJmNWEyMTZkOTI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0C43"/>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3190CB5"/>
    <w:rsid w:val="045D1931"/>
    <w:rsid w:val="05311908"/>
    <w:rsid w:val="06E520F4"/>
    <w:rsid w:val="072B07EF"/>
    <w:rsid w:val="08DE6D0E"/>
    <w:rsid w:val="08E07DAE"/>
    <w:rsid w:val="09CA0A04"/>
    <w:rsid w:val="0A717562"/>
    <w:rsid w:val="0ABA5EA1"/>
    <w:rsid w:val="0C5F2995"/>
    <w:rsid w:val="0CAF5FEF"/>
    <w:rsid w:val="0DAD52C5"/>
    <w:rsid w:val="0DDA653B"/>
    <w:rsid w:val="0DDD3A40"/>
    <w:rsid w:val="0E9D6C3E"/>
    <w:rsid w:val="0EDC362F"/>
    <w:rsid w:val="10D455F8"/>
    <w:rsid w:val="117D06E9"/>
    <w:rsid w:val="11B97609"/>
    <w:rsid w:val="125005C8"/>
    <w:rsid w:val="13C51693"/>
    <w:rsid w:val="148661A5"/>
    <w:rsid w:val="14EB00CF"/>
    <w:rsid w:val="14ED489F"/>
    <w:rsid w:val="17346358"/>
    <w:rsid w:val="173D3514"/>
    <w:rsid w:val="176D2F9A"/>
    <w:rsid w:val="181518F2"/>
    <w:rsid w:val="182B76F5"/>
    <w:rsid w:val="18867185"/>
    <w:rsid w:val="191275A0"/>
    <w:rsid w:val="19BE4D51"/>
    <w:rsid w:val="1A4A3123"/>
    <w:rsid w:val="1BB763C8"/>
    <w:rsid w:val="1C5A25D7"/>
    <w:rsid w:val="1C724A32"/>
    <w:rsid w:val="1CE15356"/>
    <w:rsid w:val="1D3D3830"/>
    <w:rsid w:val="1E530286"/>
    <w:rsid w:val="1ED125ED"/>
    <w:rsid w:val="1F647FD9"/>
    <w:rsid w:val="1F907373"/>
    <w:rsid w:val="1F9B4EE5"/>
    <w:rsid w:val="1FCB7383"/>
    <w:rsid w:val="20961656"/>
    <w:rsid w:val="209D7127"/>
    <w:rsid w:val="20A4043D"/>
    <w:rsid w:val="21075521"/>
    <w:rsid w:val="21194658"/>
    <w:rsid w:val="21E0729C"/>
    <w:rsid w:val="2323381D"/>
    <w:rsid w:val="239F1DE7"/>
    <w:rsid w:val="23BA6392"/>
    <w:rsid w:val="24461B1F"/>
    <w:rsid w:val="24965E29"/>
    <w:rsid w:val="24C053A1"/>
    <w:rsid w:val="258E28A4"/>
    <w:rsid w:val="259819C1"/>
    <w:rsid w:val="25BB3904"/>
    <w:rsid w:val="25BB637B"/>
    <w:rsid w:val="25DE19B7"/>
    <w:rsid w:val="26BD7EB7"/>
    <w:rsid w:val="26CC6518"/>
    <w:rsid w:val="26E7594C"/>
    <w:rsid w:val="27B23DF2"/>
    <w:rsid w:val="29077FCE"/>
    <w:rsid w:val="29774ED5"/>
    <w:rsid w:val="29FA428B"/>
    <w:rsid w:val="2AE930F5"/>
    <w:rsid w:val="2CC57DCA"/>
    <w:rsid w:val="2CFF2911"/>
    <w:rsid w:val="2D5B62BC"/>
    <w:rsid w:val="2D82642C"/>
    <w:rsid w:val="2E0A5F49"/>
    <w:rsid w:val="2E625CB7"/>
    <w:rsid w:val="31280191"/>
    <w:rsid w:val="31707A22"/>
    <w:rsid w:val="319E5231"/>
    <w:rsid w:val="31EE0F3D"/>
    <w:rsid w:val="32044309"/>
    <w:rsid w:val="32295A90"/>
    <w:rsid w:val="32401B61"/>
    <w:rsid w:val="3267400C"/>
    <w:rsid w:val="328C1951"/>
    <w:rsid w:val="339E6FC7"/>
    <w:rsid w:val="33CF7E4B"/>
    <w:rsid w:val="33E75211"/>
    <w:rsid w:val="34385EAF"/>
    <w:rsid w:val="34A84B23"/>
    <w:rsid w:val="352524BC"/>
    <w:rsid w:val="35521561"/>
    <w:rsid w:val="35774001"/>
    <w:rsid w:val="35A60508"/>
    <w:rsid w:val="36A35E5F"/>
    <w:rsid w:val="36C5744F"/>
    <w:rsid w:val="370E29E8"/>
    <w:rsid w:val="378568C1"/>
    <w:rsid w:val="39E07CA6"/>
    <w:rsid w:val="3A51125F"/>
    <w:rsid w:val="3A5C29F2"/>
    <w:rsid w:val="3A6F5774"/>
    <w:rsid w:val="3A7654AF"/>
    <w:rsid w:val="3A8C2FFF"/>
    <w:rsid w:val="3AD10B31"/>
    <w:rsid w:val="3AEF469A"/>
    <w:rsid w:val="3B4E1AB7"/>
    <w:rsid w:val="3B911029"/>
    <w:rsid w:val="3C084000"/>
    <w:rsid w:val="3C131FCD"/>
    <w:rsid w:val="3C254856"/>
    <w:rsid w:val="3C7E15AD"/>
    <w:rsid w:val="3CAB7EC8"/>
    <w:rsid w:val="3DE95596"/>
    <w:rsid w:val="3DEE64E8"/>
    <w:rsid w:val="3E6C50D8"/>
    <w:rsid w:val="3EF80D60"/>
    <w:rsid w:val="3F8F360F"/>
    <w:rsid w:val="402D19C4"/>
    <w:rsid w:val="41635215"/>
    <w:rsid w:val="417165F8"/>
    <w:rsid w:val="41FF4E9C"/>
    <w:rsid w:val="42253CE8"/>
    <w:rsid w:val="42D279D5"/>
    <w:rsid w:val="43E03B02"/>
    <w:rsid w:val="444C361A"/>
    <w:rsid w:val="44A51168"/>
    <w:rsid w:val="44FB5B53"/>
    <w:rsid w:val="45A755F8"/>
    <w:rsid w:val="45DD43F2"/>
    <w:rsid w:val="468B269B"/>
    <w:rsid w:val="475424A4"/>
    <w:rsid w:val="47C14A44"/>
    <w:rsid w:val="48582252"/>
    <w:rsid w:val="48686A79"/>
    <w:rsid w:val="490C5FBD"/>
    <w:rsid w:val="4A32299A"/>
    <w:rsid w:val="4C6B3B21"/>
    <w:rsid w:val="4D5B371F"/>
    <w:rsid w:val="4D6B4F60"/>
    <w:rsid w:val="4D852C5F"/>
    <w:rsid w:val="4E3F4C7E"/>
    <w:rsid w:val="4EA05C5B"/>
    <w:rsid w:val="4F187423"/>
    <w:rsid w:val="4F365532"/>
    <w:rsid w:val="4F37628C"/>
    <w:rsid w:val="4F6665FD"/>
    <w:rsid w:val="4FCC1DAC"/>
    <w:rsid w:val="51652AEA"/>
    <w:rsid w:val="51B46785"/>
    <w:rsid w:val="524861FA"/>
    <w:rsid w:val="525A7155"/>
    <w:rsid w:val="52C00EF4"/>
    <w:rsid w:val="5353276D"/>
    <w:rsid w:val="53840F34"/>
    <w:rsid w:val="53AA5115"/>
    <w:rsid w:val="53D5425E"/>
    <w:rsid w:val="54257DE3"/>
    <w:rsid w:val="5498297C"/>
    <w:rsid w:val="557939A9"/>
    <w:rsid w:val="56793775"/>
    <w:rsid w:val="569C025C"/>
    <w:rsid w:val="57881514"/>
    <w:rsid w:val="57A14A13"/>
    <w:rsid w:val="57A515FA"/>
    <w:rsid w:val="58325980"/>
    <w:rsid w:val="58DC271C"/>
    <w:rsid w:val="59B85E5B"/>
    <w:rsid w:val="59E01CC2"/>
    <w:rsid w:val="5A27445C"/>
    <w:rsid w:val="5BEB0CA6"/>
    <w:rsid w:val="5CEE34CC"/>
    <w:rsid w:val="5D457319"/>
    <w:rsid w:val="5E1930B1"/>
    <w:rsid w:val="5E7C4F42"/>
    <w:rsid w:val="5E902291"/>
    <w:rsid w:val="5F832236"/>
    <w:rsid w:val="5FF6114B"/>
    <w:rsid w:val="62B14C8D"/>
    <w:rsid w:val="6337770F"/>
    <w:rsid w:val="638E2F20"/>
    <w:rsid w:val="63E42C62"/>
    <w:rsid w:val="6441108B"/>
    <w:rsid w:val="64C44014"/>
    <w:rsid w:val="655524F8"/>
    <w:rsid w:val="65904CE4"/>
    <w:rsid w:val="66E203FE"/>
    <w:rsid w:val="67ED1140"/>
    <w:rsid w:val="6821710D"/>
    <w:rsid w:val="683E21B2"/>
    <w:rsid w:val="684E4409"/>
    <w:rsid w:val="687D07DA"/>
    <w:rsid w:val="69976A08"/>
    <w:rsid w:val="6B04059F"/>
    <w:rsid w:val="6B734732"/>
    <w:rsid w:val="6BE77FC0"/>
    <w:rsid w:val="6C155E31"/>
    <w:rsid w:val="6CDC7B8B"/>
    <w:rsid w:val="6DDC464C"/>
    <w:rsid w:val="6E4476B1"/>
    <w:rsid w:val="6E8E3BBC"/>
    <w:rsid w:val="6E9B4759"/>
    <w:rsid w:val="6ED445AA"/>
    <w:rsid w:val="6F081BAF"/>
    <w:rsid w:val="6F17563E"/>
    <w:rsid w:val="6F5B0B3B"/>
    <w:rsid w:val="7036041C"/>
    <w:rsid w:val="7084409A"/>
    <w:rsid w:val="71203116"/>
    <w:rsid w:val="716A2545"/>
    <w:rsid w:val="71721664"/>
    <w:rsid w:val="71CE1C8A"/>
    <w:rsid w:val="71EC6A4F"/>
    <w:rsid w:val="722756E9"/>
    <w:rsid w:val="7248201B"/>
    <w:rsid w:val="725A1750"/>
    <w:rsid w:val="727B68B1"/>
    <w:rsid w:val="729C519F"/>
    <w:rsid w:val="73D44508"/>
    <w:rsid w:val="74240A14"/>
    <w:rsid w:val="742B25FC"/>
    <w:rsid w:val="74687C26"/>
    <w:rsid w:val="748D7846"/>
    <w:rsid w:val="74AE27A1"/>
    <w:rsid w:val="74E725F0"/>
    <w:rsid w:val="75687B1A"/>
    <w:rsid w:val="75EC2B71"/>
    <w:rsid w:val="768212C0"/>
    <w:rsid w:val="76BA7523"/>
    <w:rsid w:val="76DE792F"/>
    <w:rsid w:val="77831B44"/>
    <w:rsid w:val="77E868C7"/>
    <w:rsid w:val="782A4E17"/>
    <w:rsid w:val="782D3E29"/>
    <w:rsid w:val="7AC0743F"/>
    <w:rsid w:val="7AEA5A5C"/>
    <w:rsid w:val="7B8E1315"/>
    <w:rsid w:val="7B933A26"/>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 w:type="paragraph" w:customStyle="1" w:styleId="4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1697</Words>
  <Characters>1912</Characters>
  <Lines>47</Lines>
  <Paragraphs>13</Paragraphs>
  <TotalTime>3</TotalTime>
  <ScaleCrop>false</ScaleCrop>
  <LinksUpToDate>false</LinksUpToDate>
  <CharactersWithSpaces>1949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2026-03-03T00:58:59Z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09837CFBD3B648D398FFC94922EF09A9_13</vt:lpwstr>
  </property>
  <property fmtid="{D5CDD505-2E9C-101B-9397-08002B2CF9AE}" pid="4" name="KSOTemplateDocerSaveRecord">
    <vt:lpwstr>eyJoZGlkIjoiNWNjYTRlY2YxM2Q4Yzc0Njc5ODY4NzZlZjBhYmQzOTgiLCJ1c2VySWQiOiIyNTUxODAzNDkifQ==</vt:lpwstr>
  </property>
</Properties>
</file>