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项目名称：风力发电机雷电流仿真分流测试</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项目编号：ZDWYY-XJ-2026003</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w:t>
      </w:r>
      <w:r>
        <w:rPr>
          <w:rFonts w:hint="eastAsia"/>
          <w:b/>
          <w:bCs/>
          <w:w w:val="95"/>
          <w:sz w:val="32"/>
          <w:szCs w:val="32"/>
          <w:lang w:val="en-US" w:eastAsia="zh-CN"/>
        </w:rPr>
        <w:t>6</w:t>
      </w:r>
      <w:r>
        <w:rPr>
          <w:rFonts w:hint="eastAsia"/>
          <w:b/>
          <w:bCs/>
          <w:w w:val="95"/>
          <w:sz w:val="32"/>
          <w:szCs w:val="32"/>
        </w:rPr>
        <w:t>年</w:t>
      </w:r>
      <w:r>
        <w:rPr>
          <w:rFonts w:hint="eastAsia"/>
          <w:b/>
          <w:bCs/>
          <w:w w:val="95"/>
          <w:sz w:val="32"/>
          <w:szCs w:val="32"/>
          <w:lang w:val="en-US" w:eastAsia="zh-CN"/>
        </w:rPr>
        <w:t>03</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风力发电机雷电流仿真分流测试</w:t>
      </w:r>
      <w:r>
        <w:rPr>
          <w:rFonts w:hint="eastAsia"/>
          <w:b/>
          <w:bCs/>
          <w:szCs w:val="21"/>
        </w:rPr>
        <w:t>；采购数量：</w:t>
      </w:r>
      <w:r>
        <w:rPr>
          <w:rFonts w:hint="eastAsia"/>
          <w:b/>
          <w:bCs/>
          <w:szCs w:val="21"/>
          <w:highlight w:val="yellow"/>
        </w:rPr>
        <w:t>1</w:t>
      </w:r>
      <w:r>
        <w:rPr>
          <w:rFonts w:hint="eastAsia"/>
          <w:b/>
          <w:bCs/>
          <w:szCs w:val="21"/>
          <w:highlight w:val="yellow"/>
          <w:lang w:val="en-US" w:eastAsia="zh-CN"/>
        </w:rPr>
        <w:t>次</w:t>
      </w:r>
      <w:r>
        <w:rPr>
          <w:rFonts w:hint="eastAsia"/>
          <w:b/>
          <w:bCs/>
          <w:szCs w:val="21"/>
        </w:rPr>
        <w:t>；总预算：</w:t>
      </w:r>
      <w:r>
        <w:rPr>
          <w:rFonts w:hint="eastAsia"/>
          <w:b/>
          <w:bCs/>
          <w:szCs w:val="21"/>
          <w:highlight w:val="yellow"/>
          <w:lang w:val="en-US" w:eastAsia="zh-CN"/>
        </w:rPr>
        <w:t>20</w:t>
      </w:r>
      <w:r>
        <w:rPr>
          <w:rFonts w:hint="eastAsia"/>
          <w:b/>
          <w:bCs/>
          <w:szCs w:val="21"/>
          <w:highlight w:val="yellow"/>
        </w:rPr>
        <w:t>万元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740"/>
        <w:gridCol w:w="1897"/>
        <w:gridCol w:w="2540"/>
        <w:gridCol w:w="862"/>
        <w:gridCol w:w="713"/>
        <w:gridCol w:w="965"/>
        <w:gridCol w:w="1104"/>
        <w:gridCol w:w="1506"/>
        <w:gridCol w:w="650"/>
      </w:tblGrid>
      <w:tr w14:paraId="3826556E">
        <w:tblPrEx>
          <w:tblCellMar>
            <w:top w:w="0" w:type="dxa"/>
            <w:left w:w="108" w:type="dxa"/>
            <w:bottom w:w="0" w:type="dxa"/>
            <w:right w:w="108" w:type="dxa"/>
          </w:tblCellMar>
        </w:tblPrEx>
        <w:trPr>
          <w:trHeight w:val="64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2540"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862"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104"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506"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358">
            <w:pPr>
              <w:widowControl/>
              <w:spacing w:line="240" w:lineRule="auto"/>
              <w:ind w:firstLine="0" w:firstLineChars="0"/>
              <w:jc w:val="left"/>
              <w:textAlignment w:val="center"/>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风力发电机雷电流仿真分流测试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B7F1">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用于在风力发电机上模拟雷击现象，测试雷电流在风力发电机的行进路径，并进行相关的仿真测试分析</w:t>
            </w:r>
          </w:p>
          <w:p w14:paraId="3FA2B393">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测试条件要求：</w:t>
            </w:r>
          </w:p>
          <w:p w14:paraId="78F661E2">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1、正在运行或退役的风力发电机，或依照风力发电机制作的等效模型，需要包含叶片接闪、金属塔筒、接地系统、内部屏蔽电缆等结构，接地设计符合相关规程；</w:t>
            </w:r>
          </w:p>
          <w:p w14:paraId="4B5329DA">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2、提供高频高压电源模拟雷电流；</w:t>
            </w:r>
          </w:p>
          <w:p w14:paraId="0771C55A">
            <w:pPr>
              <w:widowControl/>
              <w:spacing w:line="240" w:lineRule="auto"/>
              <w:ind w:firstLine="0" w:firstLineChars="0"/>
              <w:jc w:val="left"/>
              <w:textAlignment w:val="center"/>
              <w:rPr>
                <w:rFonts w:hint="default" w:ascii="宋体" w:hAnsi="宋体" w:eastAsia="宋体" w:cs="宋体"/>
                <w:color w:val="000000"/>
                <w:sz w:val="18"/>
                <w:szCs w:val="18"/>
                <w:lang w:val="en-US" w:eastAsia="zh-CN" w:bidi="ar-SA"/>
              </w:rPr>
            </w:pPr>
            <w:r>
              <w:rPr>
                <w:rFonts w:hint="default" w:ascii="宋体" w:hAnsi="宋体" w:eastAsia="宋体" w:cs="宋体"/>
                <w:color w:val="000000"/>
                <w:sz w:val="18"/>
                <w:szCs w:val="18"/>
                <w:lang w:val="en-US" w:eastAsia="zh-CN" w:bidi="ar-SA"/>
              </w:rPr>
              <w:t>3、具备高灵敏性的电流、电压、频率、波阻抗检测能力。</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D1E2">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9D1">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次</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F20A">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200000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3EAC">
            <w:pPr>
              <w:widowControl/>
              <w:spacing w:line="240" w:lineRule="auto"/>
              <w:ind w:firstLine="0" w:firstLineChars="0"/>
              <w:textAlignment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bidi="ar-SA"/>
              </w:rPr>
              <w:t>200000</w:t>
            </w:r>
          </w:p>
        </w:tc>
        <w:tc>
          <w:tcPr>
            <w:tcW w:w="150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252E8">
            <w:pPr>
              <w:spacing w:line="240" w:lineRule="auto"/>
              <w:ind w:firstLine="420" w:firstLineChars="0"/>
              <w:jc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236307">
            <w:pPr>
              <w:widowControl/>
              <w:spacing w:line="240" w:lineRule="auto"/>
              <w:ind w:firstLine="0" w:firstLineChars="0"/>
              <w:jc w:val="left"/>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w:t>
            </w:r>
          </w:p>
        </w:tc>
      </w:tr>
    </w:tbl>
    <w:p w14:paraId="46CFF279">
      <w:pPr>
        <w:ind w:firstLine="0"/>
        <w:rPr>
          <w:b/>
          <w:bCs/>
          <w:szCs w:val="21"/>
        </w:rPr>
      </w:pPr>
    </w:p>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1"/>
      <w:bookmarkStart w:id="1" w:name="bookmark2"/>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报价供应商需将加盖公章的合格有效的企业营业执照复印件、报价单（附件1）文件发送至邮箱zdwzyjy2023@163.com，未按要求提交的供应商，采购人可按无效响应处理。</w:t>
      </w:r>
    </w:p>
    <w:p w14:paraId="5C9A7BEE">
      <w:pPr>
        <w:tabs>
          <w:tab w:val="left" w:pos="-200"/>
          <w:tab w:val="left" w:pos="0"/>
        </w:tabs>
        <w:spacing w:line="240" w:lineRule="auto"/>
        <w:rPr>
          <w:rFonts w:hint="eastAsia" w:ascii="宋体" w:hAnsi="宋体"/>
          <w:b/>
        </w:rPr>
      </w:pPr>
    </w:p>
    <w:p w14:paraId="19D20833">
      <w:pPr>
        <w:ind w:firstLine="0"/>
        <w:rPr>
          <w:w w:val="95"/>
        </w:rPr>
      </w:pPr>
      <w:bookmarkStart w:id="3" w:name="_GoBack"/>
      <w:bookmarkEnd w:id="3"/>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885AE0"/>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5F1CD6"/>
    <w:rsid w:val="21E0729C"/>
    <w:rsid w:val="239F1DE7"/>
    <w:rsid w:val="23BA6392"/>
    <w:rsid w:val="24461B1F"/>
    <w:rsid w:val="24965E29"/>
    <w:rsid w:val="24C053A1"/>
    <w:rsid w:val="258E28A4"/>
    <w:rsid w:val="259819C1"/>
    <w:rsid w:val="25BB3904"/>
    <w:rsid w:val="25DE19B7"/>
    <w:rsid w:val="26CC6518"/>
    <w:rsid w:val="27755CFA"/>
    <w:rsid w:val="29077FCE"/>
    <w:rsid w:val="29FA428B"/>
    <w:rsid w:val="2B203A4B"/>
    <w:rsid w:val="2BD3312A"/>
    <w:rsid w:val="2CC57DCA"/>
    <w:rsid w:val="2CFF2911"/>
    <w:rsid w:val="2D82642C"/>
    <w:rsid w:val="2E0A5F49"/>
    <w:rsid w:val="30A16401"/>
    <w:rsid w:val="311653D0"/>
    <w:rsid w:val="31707A22"/>
    <w:rsid w:val="319E5231"/>
    <w:rsid w:val="31EE0F3D"/>
    <w:rsid w:val="32295A90"/>
    <w:rsid w:val="32401B61"/>
    <w:rsid w:val="3267400C"/>
    <w:rsid w:val="328C1951"/>
    <w:rsid w:val="33CF7E4B"/>
    <w:rsid w:val="33E75211"/>
    <w:rsid w:val="34A84B23"/>
    <w:rsid w:val="35521561"/>
    <w:rsid w:val="35774001"/>
    <w:rsid w:val="35A60508"/>
    <w:rsid w:val="362A3CA9"/>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110D98"/>
    <w:rsid w:val="4D5B371F"/>
    <w:rsid w:val="4D6B4F60"/>
    <w:rsid w:val="4D720CBA"/>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2CC7E14"/>
    <w:rsid w:val="6360435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90B3D40"/>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873</Words>
  <Characters>941</Characters>
  <Lines>9</Lines>
  <Paragraphs>2</Paragraphs>
  <TotalTime>9</TotalTime>
  <ScaleCrop>false</ScaleCrop>
  <LinksUpToDate>false</LinksUpToDate>
  <CharactersWithSpaces>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2026-03-03T06:13:45Z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