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BBCF">
      <w:pPr>
        <w:jc w:val="center"/>
        <w:rPr>
          <w:rFonts w:hint="eastAsia"/>
          <w:b/>
          <w:sz w:val="68"/>
          <w:szCs w:val="68"/>
        </w:rPr>
      </w:pPr>
    </w:p>
    <w:p w14:paraId="084E89C8">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14:paraId="06C845C7">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507A36B">
      <w:pPr>
        <w:jc w:val="center"/>
        <w:rPr>
          <w:rFonts w:hint="eastAsia"/>
          <w:b/>
          <w:sz w:val="72"/>
          <w:szCs w:val="72"/>
        </w:rPr>
      </w:pPr>
    </w:p>
    <w:p w14:paraId="0C03EB8E">
      <w:pPr>
        <w:jc w:val="center"/>
        <w:rPr>
          <w:rFonts w:hint="eastAsia"/>
          <w:b/>
          <w:sz w:val="72"/>
          <w:szCs w:val="72"/>
        </w:rPr>
      </w:pPr>
    </w:p>
    <w:p w14:paraId="7FC8BAE2">
      <w:pPr>
        <w:jc w:val="center"/>
        <w:rPr>
          <w:rFonts w:hint="eastAsia"/>
          <w:b/>
          <w:sz w:val="72"/>
          <w:szCs w:val="72"/>
        </w:rPr>
      </w:pPr>
    </w:p>
    <w:p w14:paraId="4821D147">
      <w:pPr>
        <w:snapToGrid w:val="0"/>
        <w:rPr>
          <w:b/>
          <w:sz w:val="28"/>
          <w:szCs w:val="28"/>
        </w:rPr>
      </w:pPr>
    </w:p>
    <w:p w14:paraId="77D61BF4">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ascii="Times New Roman" w:hAnsi="Times New Roman"/>
          <w:b/>
          <w:sz w:val="32"/>
          <w:szCs w:val="32"/>
        </w:rPr>
        <w:t>项目名称：</w:t>
      </w:r>
      <w:bookmarkStart w:id="0" w:name="OLE_LINK147"/>
      <w:r>
        <w:rPr>
          <w:rFonts w:ascii="Times New Roman" w:hAnsi="Times New Roman"/>
          <w:b/>
          <w:sz w:val="32"/>
          <w:szCs w:val="32"/>
        </w:rPr>
        <w:t>孤独症谱系障碍信息处理软件</w:t>
      </w:r>
      <w:bookmarkEnd w:id="0"/>
    </w:p>
    <w:p w14:paraId="56EC84C6">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hint="eastAsia" w:ascii="Times New Roman" w:hAnsi="Times New Roman"/>
          <w:b/>
          <w:sz w:val="32"/>
          <w:szCs w:val="32"/>
          <w:highlight w:val="none"/>
          <w:lang w:val="en-US" w:eastAsia="zh-CN"/>
        </w:rPr>
        <w:t>项目编号：ZDWYY-XJ-2026007</w:t>
      </w:r>
    </w:p>
    <w:p w14:paraId="74D79C7E">
      <w:pPr>
        <w:pStyle w:val="9"/>
        <w:snapToGrid w:val="0"/>
        <w:spacing w:before="156" w:after="156" w:line="360" w:lineRule="auto"/>
        <w:ind w:firstLine="841" w:firstLineChars="294"/>
        <w:rPr>
          <w:rFonts w:ascii="Times New Roman" w:hAnsi="Times New Roman"/>
          <w:b/>
          <w:bCs/>
          <w:w w:val="95"/>
          <w:sz w:val="30"/>
          <w:szCs w:val="30"/>
        </w:rPr>
      </w:pPr>
    </w:p>
    <w:p w14:paraId="01D1BF8F">
      <w:pPr>
        <w:pStyle w:val="9"/>
        <w:snapToGrid w:val="0"/>
        <w:spacing w:before="156" w:after="156" w:line="360" w:lineRule="auto"/>
        <w:ind w:firstLine="841" w:firstLineChars="294"/>
        <w:rPr>
          <w:rFonts w:ascii="Times New Roman" w:hAnsi="Times New Roman"/>
          <w:b/>
          <w:bCs/>
          <w:w w:val="95"/>
          <w:sz w:val="30"/>
          <w:szCs w:val="30"/>
        </w:rPr>
      </w:pPr>
    </w:p>
    <w:p w14:paraId="09DA07E1">
      <w:pPr>
        <w:pStyle w:val="9"/>
        <w:snapToGrid w:val="0"/>
        <w:spacing w:before="156" w:after="156" w:line="360" w:lineRule="auto"/>
        <w:ind w:firstLine="841" w:firstLineChars="294"/>
        <w:rPr>
          <w:rFonts w:ascii="Times New Roman" w:hAnsi="Times New Roman"/>
          <w:b/>
          <w:bCs/>
          <w:w w:val="95"/>
          <w:sz w:val="30"/>
          <w:szCs w:val="30"/>
        </w:rPr>
      </w:pPr>
    </w:p>
    <w:p w14:paraId="5F8806CE">
      <w:pPr>
        <w:pStyle w:val="9"/>
        <w:snapToGrid w:val="0"/>
        <w:spacing w:before="156" w:after="156" w:line="360" w:lineRule="auto"/>
        <w:ind w:firstLine="841" w:firstLineChars="294"/>
        <w:rPr>
          <w:rFonts w:ascii="Times New Roman" w:hAnsi="Times New Roman"/>
          <w:b/>
          <w:bCs/>
          <w:w w:val="95"/>
          <w:sz w:val="30"/>
          <w:szCs w:val="30"/>
        </w:rPr>
      </w:pPr>
    </w:p>
    <w:p w14:paraId="2F4F4B3C">
      <w:pPr>
        <w:pStyle w:val="9"/>
        <w:snapToGrid w:val="0"/>
        <w:spacing w:before="156" w:after="156" w:line="360" w:lineRule="auto"/>
        <w:ind w:firstLine="841" w:firstLineChars="294"/>
        <w:rPr>
          <w:rFonts w:ascii="Times New Roman" w:hAnsi="Times New Roman"/>
          <w:b/>
          <w:bCs/>
          <w:w w:val="95"/>
          <w:sz w:val="30"/>
          <w:szCs w:val="30"/>
        </w:rPr>
      </w:pPr>
    </w:p>
    <w:p w14:paraId="2DF56C04">
      <w:pPr>
        <w:pStyle w:val="9"/>
        <w:snapToGrid w:val="0"/>
        <w:spacing w:before="156" w:after="156" w:line="360" w:lineRule="auto"/>
        <w:ind w:firstLine="841" w:firstLineChars="294"/>
        <w:rPr>
          <w:rFonts w:ascii="Times New Roman" w:hAnsi="Times New Roman"/>
          <w:b/>
          <w:bCs/>
          <w:w w:val="95"/>
          <w:sz w:val="30"/>
          <w:szCs w:val="30"/>
        </w:rPr>
      </w:pPr>
    </w:p>
    <w:p w14:paraId="1AAC7498">
      <w:pPr>
        <w:pStyle w:val="9"/>
        <w:snapToGrid w:val="0"/>
        <w:spacing w:before="156" w:after="156" w:line="360" w:lineRule="auto"/>
        <w:ind w:firstLine="841" w:firstLineChars="294"/>
        <w:rPr>
          <w:rFonts w:ascii="Times New Roman" w:hAnsi="Times New Roman"/>
          <w:b/>
          <w:bCs/>
          <w:w w:val="95"/>
          <w:sz w:val="30"/>
          <w:szCs w:val="30"/>
        </w:rPr>
      </w:pPr>
    </w:p>
    <w:p w14:paraId="34091714">
      <w:pPr>
        <w:widowControl/>
        <w:autoSpaceDE w:val="0"/>
        <w:autoSpaceDN w:val="0"/>
        <w:spacing w:line="240" w:lineRule="auto"/>
        <w:jc w:val="center"/>
        <w:textAlignment w:val="bottom"/>
        <w:rPr>
          <w:rFonts w:hint="default" w:eastAsia="宋体"/>
          <w:b/>
          <w:bCs/>
          <w:w w:val="95"/>
          <w:sz w:val="32"/>
          <w:szCs w:val="32"/>
          <w:lang w:val="en-US" w:eastAsia="zh-CN"/>
        </w:rPr>
      </w:pPr>
      <w:r>
        <w:rPr>
          <w:rFonts w:hint="eastAsia"/>
          <w:b/>
          <w:bCs/>
          <w:w w:val="95"/>
          <w:sz w:val="32"/>
          <w:szCs w:val="32"/>
          <w:lang w:val="en-US" w:eastAsia="zh-CN"/>
        </w:rPr>
        <w:t>浙江大学温州研究院</w:t>
      </w:r>
    </w:p>
    <w:p w14:paraId="7F9B8BD3">
      <w:pPr>
        <w:spacing w:line="440" w:lineRule="exact"/>
        <w:ind w:firstLine="0"/>
        <w:jc w:val="center"/>
        <w:rPr>
          <w:rFonts w:ascii="宋体" w:hAnsi="宋体"/>
          <w:b/>
          <w:bCs/>
          <w:szCs w:val="32"/>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none"/>
        </w:rPr>
        <w:t>202</w:t>
      </w:r>
      <w:r>
        <w:rPr>
          <w:rFonts w:hint="eastAsia"/>
          <w:b/>
          <w:bCs/>
          <w:w w:val="95"/>
          <w:sz w:val="32"/>
          <w:szCs w:val="32"/>
          <w:highlight w:val="none"/>
          <w:lang w:val="en-US" w:eastAsia="zh-CN"/>
        </w:rPr>
        <w:t>6</w:t>
      </w:r>
      <w:r>
        <w:rPr>
          <w:rFonts w:hint="eastAsia"/>
          <w:b/>
          <w:bCs/>
          <w:w w:val="95"/>
          <w:sz w:val="32"/>
          <w:szCs w:val="32"/>
          <w:highlight w:val="none"/>
        </w:rPr>
        <w:t>年</w:t>
      </w:r>
      <w:r>
        <w:rPr>
          <w:rFonts w:hint="eastAsia"/>
          <w:b/>
          <w:bCs/>
          <w:w w:val="95"/>
          <w:sz w:val="32"/>
          <w:szCs w:val="32"/>
          <w:highlight w:val="none"/>
          <w:lang w:val="en-US" w:eastAsia="zh-CN"/>
        </w:rPr>
        <w:t>2</w:t>
      </w:r>
      <w:r>
        <w:rPr>
          <w:rFonts w:hint="eastAsia"/>
          <w:b/>
          <w:bCs/>
          <w:w w:val="95"/>
          <w:sz w:val="32"/>
          <w:szCs w:val="32"/>
          <w:highlight w:val="none"/>
        </w:rPr>
        <w:t>月</w:t>
      </w:r>
    </w:p>
    <w:p w14:paraId="666E2DB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70A5BB42">
      <w:pPr>
        <w:numPr>
          <w:ilvl w:val="0"/>
          <w:numId w:val="1"/>
        </w:numPr>
        <w:ind w:firstLine="0"/>
        <w:rPr>
          <w:rFonts w:hint="eastAsia"/>
          <w:b/>
          <w:bCs/>
          <w:szCs w:val="21"/>
          <w:highlight w:val="none"/>
        </w:rPr>
      </w:pPr>
      <w:r>
        <w:rPr>
          <w:rFonts w:hint="eastAsia"/>
          <w:b/>
          <w:bCs/>
          <w:szCs w:val="21"/>
        </w:rPr>
        <w:t>采购物资</w:t>
      </w:r>
      <w:r>
        <w:rPr>
          <w:rFonts w:hint="eastAsia"/>
          <w:b/>
          <w:bCs/>
          <w:szCs w:val="21"/>
          <w:lang w:eastAsia="zh-CN"/>
        </w:rPr>
        <w:t>：</w:t>
      </w:r>
      <w:r>
        <w:rPr>
          <w:rFonts w:hint="eastAsia"/>
          <w:b/>
          <w:bCs/>
          <w:szCs w:val="21"/>
        </w:rPr>
        <w:t>孤独症谱系障碍信息处理软件；采购数量</w:t>
      </w:r>
      <w:r>
        <w:rPr>
          <w:rFonts w:hint="eastAsia"/>
          <w:b/>
          <w:bCs/>
          <w:szCs w:val="21"/>
          <w:highlight w:val="none"/>
        </w:rPr>
        <w:t>：1批；总预算：</w:t>
      </w:r>
      <w:r>
        <w:rPr>
          <w:rFonts w:hint="eastAsia"/>
          <w:b/>
          <w:bCs/>
          <w:szCs w:val="21"/>
          <w:highlight w:val="none"/>
          <w:lang w:val="en-US" w:eastAsia="zh-CN"/>
        </w:rPr>
        <w:t>280000</w:t>
      </w:r>
      <w:r>
        <w:rPr>
          <w:rFonts w:hint="eastAsia"/>
          <w:b/>
          <w:bCs/>
          <w:szCs w:val="21"/>
          <w:highlight w:val="none"/>
        </w:rPr>
        <w:t>元。</w:t>
      </w:r>
    </w:p>
    <w:p w14:paraId="51F4D873">
      <w:pPr>
        <w:numPr>
          <w:ilvl w:val="0"/>
          <w:numId w:val="1"/>
        </w:numPr>
        <w:ind w:firstLine="0"/>
        <w:rPr>
          <w:rFonts w:hint="eastAsia"/>
          <w:b/>
          <w:bCs/>
          <w:szCs w:val="21"/>
          <w:highlight w:val="none"/>
        </w:rPr>
      </w:pPr>
      <w:r>
        <w:rPr>
          <w:rFonts w:hint="eastAsia"/>
          <w:b/>
          <w:bCs/>
          <w:szCs w:val="21"/>
          <w:highlight w:val="none"/>
        </w:rPr>
        <w:t>规格参数（对规格参数有任何疑问，请联系</w:t>
      </w:r>
      <w:r>
        <w:rPr>
          <w:rFonts w:hint="eastAsia"/>
          <w:b/>
          <w:bCs/>
          <w:szCs w:val="21"/>
          <w:highlight w:val="none"/>
          <w:lang w:val="en-US" w:eastAsia="zh-CN"/>
        </w:rPr>
        <w:t>项目组老师李露，联系方式：19519799131</w:t>
      </w:r>
      <w:r>
        <w:rPr>
          <w:rFonts w:hint="eastAsia"/>
          <w:b/>
          <w:bCs/>
          <w:szCs w:val="21"/>
          <w:highlight w:val="none"/>
        </w:rPr>
        <w:t>）</w:t>
      </w:r>
    </w:p>
    <w:tbl>
      <w:tblPr>
        <w:tblStyle w:val="13"/>
        <w:tblW w:w="9998" w:type="dxa"/>
        <w:tblInd w:w="-1198" w:type="dxa"/>
        <w:tblLayout w:type="fixed"/>
        <w:tblCellMar>
          <w:top w:w="0" w:type="dxa"/>
          <w:left w:w="108" w:type="dxa"/>
          <w:bottom w:w="0" w:type="dxa"/>
          <w:right w:w="108" w:type="dxa"/>
        </w:tblCellMar>
      </w:tblPr>
      <w:tblGrid>
        <w:gridCol w:w="465"/>
        <w:gridCol w:w="1036"/>
        <w:gridCol w:w="4980"/>
        <w:gridCol w:w="667"/>
        <w:gridCol w:w="683"/>
        <w:gridCol w:w="1083"/>
        <w:gridCol w:w="1084"/>
      </w:tblGrid>
      <w:tr w14:paraId="3CD3C697">
        <w:tblPrEx>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24CB8D4">
            <w:pPr>
              <w:widowControl/>
              <w:spacing w:line="240" w:lineRule="auto"/>
              <w:ind w:firstLine="0"/>
              <w:jc w:val="center"/>
              <w:textAlignment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2DFEC87">
            <w:pPr>
              <w:widowControl/>
              <w:spacing w:line="240" w:lineRule="auto"/>
              <w:ind w:firstLine="0"/>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商品</w:t>
            </w:r>
          </w:p>
          <w:p w14:paraId="18DAF4D1">
            <w:pPr>
              <w:widowControl/>
              <w:spacing w:line="240" w:lineRule="auto"/>
              <w:ind w:firstLine="0"/>
              <w:jc w:val="center"/>
              <w:textAlignment w:val="center"/>
              <w:rPr>
                <w:rFonts w:ascii="宋体" w:hAnsi="宋体" w:cs="宋体"/>
                <w:b/>
                <w:bCs/>
                <w:color w:val="000000"/>
                <w:sz w:val="24"/>
                <w:szCs w:val="24"/>
              </w:rPr>
            </w:pPr>
            <w:r>
              <w:rPr>
                <w:rFonts w:hint="eastAsia" w:ascii="宋体" w:hAnsi="宋体" w:cs="宋体"/>
                <w:b/>
                <w:bCs/>
                <w:color w:val="000000"/>
                <w:sz w:val="24"/>
                <w:szCs w:val="24"/>
              </w:rPr>
              <w:t>名称</w:t>
            </w:r>
          </w:p>
        </w:tc>
        <w:tc>
          <w:tcPr>
            <w:tcW w:w="4980" w:type="dxa"/>
            <w:tcBorders>
              <w:top w:val="single" w:color="000000" w:sz="4" w:space="0"/>
              <w:left w:val="single" w:color="000000" w:sz="4" w:space="0"/>
              <w:bottom w:val="single" w:color="000000" w:sz="4" w:space="0"/>
              <w:right w:val="single" w:color="000000" w:sz="4" w:space="0"/>
            </w:tcBorders>
            <w:noWrap/>
            <w:vAlign w:val="center"/>
          </w:tcPr>
          <w:p w14:paraId="7A88A229">
            <w:pPr>
              <w:widowControl/>
              <w:spacing w:line="240" w:lineRule="auto"/>
              <w:ind w:firstLine="0"/>
              <w:jc w:val="center"/>
              <w:textAlignment w:val="center"/>
              <w:rPr>
                <w:rFonts w:ascii="宋体" w:hAnsi="宋体" w:cs="宋体"/>
                <w:b/>
                <w:bCs/>
                <w:color w:val="000000"/>
                <w:sz w:val="24"/>
                <w:szCs w:val="24"/>
              </w:rPr>
            </w:pPr>
            <w:r>
              <w:rPr>
                <w:rFonts w:hint="eastAsia" w:ascii="宋体" w:hAnsi="宋体" w:cs="宋体"/>
                <w:b/>
                <w:bCs/>
                <w:color w:val="000000"/>
                <w:sz w:val="24"/>
                <w:szCs w:val="24"/>
                <w:highlight w:val="none"/>
              </w:rPr>
              <w:t>技术参数</w:t>
            </w:r>
          </w:p>
        </w:tc>
        <w:tc>
          <w:tcPr>
            <w:tcW w:w="667" w:type="dxa"/>
            <w:tcBorders>
              <w:top w:val="single" w:color="000000" w:sz="4" w:space="0"/>
              <w:left w:val="single" w:color="000000" w:sz="4" w:space="0"/>
              <w:bottom w:val="single" w:color="000000" w:sz="4" w:space="0"/>
              <w:right w:val="single" w:color="000000" w:sz="4" w:space="0"/>
            </w:tcBorders>
            <w:noWrap/>
            <w:vAlign w:val="center"/>
          </w:tcPr>
          <w:p w14:paraId="4BABD24E">
            <w:pPr>
              <w:widowControl/>
              <w:spacing w:line="240" w:lineRule="auto"/>
              <w:ind w:firstLine="0"/>
              <w:jc w:val="center"/>
              <w:textAlignment w:val="center"/>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数量</w:t>
            </w:r>
          </w:p>
        </w:tc>
        <w:tc>
          <w:tcPr>
            <w:tcW w:w="683" w:type="dxa"/>
            <w:tcBorders>
              <w:top w:val="single" w:color="000000" w:sz="4" w:space="0"/>
              <w:left w:val="single" w:color="000000" w:sz="4" w:space="0"/>
              <w:bottom w:val="single" w:color="000000" w:sz="4" w:space="0"/>
              <w:right w:val="single" w:color="000000" w:sz="4" w:space="0"/>
            </w:tcBorders>
            <w:noWrap/>
            <w:vAlign w:val="center"/>
          </w:tcPr>
          <w:p w14:paraId="558E9F9E">
            <w:pPr>
              <w:widowControl/>
              <w:spacing w:line="240" w:lineRule="auto"/>
              <w:ind w:firstLine="0"/>
              <w:jc w:val="center"/>
              <w:textAlignment w:val="center"/>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val="en-US" w:eastAsia="zh-CN"/>
              </w:rPr>
              <w:t>单位</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87D43FF">
            <w:pPr>
              <w:widowControl/>
              <w:spacing w:line="240" w:lineRule="auto"/>
              <w:ind w:firstLine="0"/>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最高</w:t>
            </w:r>
          </w:p>
          <w:p w14:paraId="51BEC42B">
            <w:pPr>
              <w:widowControl/>
              <w:spacing w:line="240" w:lineRule="auto"/>
              <w:ind w:firstLine="0"/>
              <w:jc w:val="center"/>
              <w:textAlignment w:val="center"/>
              <w:rPr>
                <w:rFonts w:ascii="宋体" w:hAnsi="宋体" w:cs="宋体"/>
                <w:b/>
                <w:bCs/>
                <w:color w:val="000000"/>
                <w:sz w:val="24"/>
                <w:szCs w:val="24"/>
              </w:rPr>
            </w:pPr>
            <w:r>
              <w:rPr>
                <w:rFonts w:hint="eastAsia" w:ascii="宋体" w:hAnsi="宋体" w:cs="宋体"/>
                <w:b/>
                <w:bCs/>
                <w:color w:val="000000"/>
                <w:sz w:val="24"/>
                <w:szCs w:val="24"/>
              </w:rPr>
              <w:t>单价</w:t>
            </w:r>
          </w:p>
        </w:tc>
        <w:tc>
          <w:tcPr>
            <w:tcW w:w="1084" w:type="dxa"/>
            <w:tcBorders>
              <w:top w:val="single" w:color="000000" w:sz="4" w:space="0"/>
              <w:left w:val="single" w:color="000000" w:sz="4" w:space="0"/>
              <w:bottom w:val="single" w:color="000000" w:sz="4" w:space="0"/>
              <w:right w:val="single" w:color="auto" w:sz="4" w:space="0"/>
            </w:tcBorders>
            <w:noWrap/>
            <w:vAlign w:val="center"/>
          </w:tcPr>
          <w:p w14:paraId="7243F440">
            <w:pPr>
              <w:widowControl/>
              <w:spacing w:line="240" w:lineRule="auto"/>
              <w:ind w:firstLine="0"/>
              <w:jc w:val="center"/>
              <w:textAlignment w:val="center"/>
              <w:rPr>
                <w:rFonts w:ascii="宋体" w:hAnsi="宋体" w:cs="宋体"/>
                <w:b/>
                <w:bCs/>
                <w:color w:val="000000"/>
                <w:sz w:val="24"/>
                <w:szCs w:val="24"/>
              </w:rPr>
            </w:pPr>
            <w:r>
              <w:rPr>
                <w:rFonts w:hint="eastAsia" w:ascii="宋体" w:hAnsi="宋体" w:cs="宋体"/>
                <w:b/>
                <w:bCs/>
                <w:color w:val="000000"/>
                <w:sz w:val="24"/>
                <w:szCs w:val="24"/>
              </w:rPr>
              <w:t>总价</w:t>
            </w:r>
          </w:p>
        </w:tc>
      </w:tr>
      <w:tr w14:paraId="5F79C71C">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8CF0AF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8"/>
                <w:szCs w:val="2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FC7B13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000000"/>
                <w:sz w:val="18"/>
                <w:szCs w:val="18"/>
              </w:rPr>
            </w:pPr>
            <w:r>
              <w:rPr>
                <w:rFonts w:ascii="Times New Roman" w:hAnsi="Times New Roman"/>
                <w:b/>
                <w:sz w:val="24"/>
                <w:szCs w:val="24"/>
              </w:rPr>
              <w:t>孤独症谱系障碍信息处理软件</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14:paraId="7DF93A70">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bidi="ar-SA"/>
              </w:rPr>
              <w:t>1.</w:t>
            </w:r>
            <w:r>
              <w:rPr>
                <w:rFonts w:hint="eastAsia" w:ascii="宋体" w:hAnsi="宋体" w:eastAsia="宋体" w:cs="宋体"/>
                <w:b/>
                <w:bCs/>
                <w:color w:val="000000"/>
                <w:sz w:val="24"/>
                <w:szCs w:val="24"/>
                <w:lang w:val="en-US" w:eastAsia="zh-CN"/>
              </w:rPr>
              <w:t>系统架构与访问方式</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本软件为孤独症谱系障碍信息处理软件，采用B/S架构，支持通过PC端、平板及手机端浏览器访问，兼容Chrome内核主流浏览器。系统支持集中部署，客户端无需安装专用软件，通过浏览器快捷方式即可登录使用。系统访问及数据传输采用HTTPS加密协议。</w:t>
            </w:r>
          </w:p>
          <w:p w14:paraId="6C02931A">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color w:val="000000"/>
                <w:sz w:val="24"/>
                <w:szCs w:val="24"/>
                <w:lang w:val="en-US" w:eastAsia="zh-CN"/>
              </w:rPr>
            </w:pPr>
          </w:p>
          <w:p w14:paraId="0370968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2.功能模块要求</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系统应至少包含以下功能模块：</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（1）系统设置模块：支持用户信息管理，可对用户姓名、职称、联系电话、登录账号等信息进行新增、删除、查询和修改等维护操作；</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（2）样本数据与标注管理模块：支持样本编号、采集时间、标注时间、标注人员、标注结果等信息的统一管理，支持数据列表展示、详情查看及多条件检索；</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（3）报告管理模块：支持报告编号、报告类型、姓名、性别、年龄、报告时间等信息管理，支持报告详情查看、按报告时间批量导出，并支持按姓名、性别、年龄段、报告时间段等条件进行查询筛选；</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（4）智能评估模块：支持孤独症行为智能评估功能</w:t>
            </w:r>
            <w:r>
              <w:rPr>
                <w:rFonts w:hint="eastAsia" w:ascii="宋体" w:hAnsi="宋体" w:cs="宋体"/>
                <w:color w:val="000000"/>
                <w:sz w:val="24"/>
                <w:szCs w:val="24"/>
                <w:lang w:val="en-US" w:eastAsia="zh-CN"/>
              </w:rPr>
              <w:t>，</w:t>
            </w:r>
            <w:r>
              <w:rPr>
                <w:rFonts w:hint="eastAsia" w:ascii="宋体" w:hAnsi="宋体"/>
                <w:sz w:val="24"/>
              </w:rPr>
              <w:t>填写必要信息（基本信息、测试指标数据），自动输出评估报告。</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（5）个人中心模块：支持个人信息展示、密码修改及安全退出登录。</w:t>
            </w:r>
          </w:p>
          <w:p w14:paraId="15EEBB2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000000"/>
                <w:sz w:val="24"/>
                <w:szCs w:val="24"/>
                <w:lang w:val="en-US" w:eastAsia="zh-CN"/>
              </w:rPr>
            </w:pPr>
          </w:p>
          <w:p w14:paraId="5EF2E606">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bidi="ar-SA"/>
              </w:rPr>
              <w:t>3.</w:t>
            </w:r>
            <w:r>
              <w:rPr>
                <w:rFonts w:hint="eastAsia" w:ascii="宋体" w:hAnsi="宋体" w:eastAsia="宋体" w:cs="宋体"/>
                <w:b/>
                <w:bCs/>
                <w:color w:val="000000"/>
                <w:sz w:val="24"/>
                <w:szCs w:val="24"/>
                <w:lang w:val="en-US" w:eastAsia="zh-CN"/>
              </w:rPr>
              <w:t>智能评估模型要求</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系统内置孤独症行为智能评估模型，模型数量不少于1个。模型采用深度学习等人工智能技术路线，模型性能达到或优于当前市场主流同类算法水平。</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模型算法及核心代码须为承建方自主研发，算法及代码自主可控。</w:t>
            </w:r>
          </w:p>
          <w:p w14:paraId="3F458E36">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color w:val="000000"/>
                <w:sz w:val="24"/>
                <w:szCs w:val="24"/>
                <w:lang w:val="en-US" w:eastAsia="zh-CN"/>
              </w:rPr>
            </w:pPr>
          </w:p>
          <w:p w14:paraId="7F3812B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b/>
                <w:bCs/>
                <w:color w:val="000000"/>
                <w:sz w:val="24"/>
                <w:szCs w:val="24"/>
                <w:lang w:val="en-US" w:eastAsia="zh-CN"/>
              </w:rPr>
              <w:t>4.性能与并发要求</w:t>
            </w:r>
            <w:bookmarkStart w:id="4" w:name="_GoBack"/>
            <w:bookmarkEnd w:id="4"/>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模型单次评估响应时间不超过5秒；</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模型支持不少于10路并发评估请求；</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系统支持不少于20个并发用户同时在线使用，运行稳定可靠。</w:t>
            </w:r>
          </w:p>
        </w:tc>
        <w:tc>
          <w:tcPr>
            <w:tcW w:w="667" w:type="dxa"/>
            <w:tcBorders>
              <w:top w:val="single" w:color="000000" w:sz="4" w:space="0"/>
              <w:left w:val="single" w:color="000000" w:sz="4" w:space="0"/>
              <w:bottom w:val="single" w:color="000000" w:sz="4" w:space="0"/>
              <w:right w:val="single" w:color="000000" w:sz="4" w:space="0"/>
            </w:tcBorders>
            <w:noWrap/>
            <w:vAlign w:val="center"/>
          </w:tcPr>
          <w:p w14:paraId="585CBD6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683" w:type="dxa"/>
            <w:tcBorders>
              <w:top w:val="single" w:color="000000" w:sz="4" w:space="0"/>
              <w:left w:val="single" w:color="000000" w:sz="4" w:space="0"/>
              <w:bottom w:val="single" w:color="000000" w:sz="4" w:space="0"/>
              <w:right w:val="single" w:color="000000" w:sz="4" w:space="0"/>
            </w:tcBorders>
            <w:noWrap/>
            <w:vAlign w:val="center"/>
          </w:tcPr>
          <w:p w14:paraId="67B1C0D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批</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23A471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280000元</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04FFEC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280000元</w:t>
            </w:r>
          </w:p>
        </w:tc>
      </w:tr>
    </w:tbl>
    <w:p w14:paraId="2312F397">
      <w:pPr>
        <w:ind w:firstLine="0"/>
        <w:rPr>
          <w:rFonts w:hint="eastAsia"/>
          <w:b/>
          <w:bCs/>
          <w:szCs w:val="21"/>
        </w:rPr>
      </w:pPr>
    </w:p>
    <w:p w14:paraId="201F01D8">
      <w:pPr>
        <w:ind w:firstLine="0"/>
        <w:rPr>
          <w:rFonts w:hint="eastAsia"/>
          <w:b/>
          <w:bCs/>
          <w:szCs w:val="21"/>
        </w:rPr>
      </w:pPr>
    </w:p>
    <w:p w14:paraId="4736716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297B9734">
      <w:pPr>
        <w:numPr>
          <w:ilvl w:val="0"/>
          <w:numId w:val="0"/>
        </w:numPr>
        <w:ind w:left="420" w:leftChars="0" w:hanging="420" w:firstLineChars="0"/>
        <w:rPr>
          <w:rFonts w:hint="eastAsia" w:ascii="宋体" w:hAnsi="宋体" w:cs="宋体"/>
          <w:szCs w:val="21"/>
        </w:rPr>
      </w:pPr>
      <w:bookmarkStart w:id="1" w:name="bookmark0"/>
      <w:bookmarkStart w:id="2" w:name="bookmark1"/>
      <w:bookmarkStart w:id="3" w:name="bookmark2"/>
      <w:r>
        <w:rPr>
          <w:rFonts w:hint="eastAsia" w:ascii="宋体" w:hAnsi="宋体" w:eastAsia="宋体" w:cs="宋体"/>
          <w:sz w:val="21"/>
          <w:szCs w:val="21"/>
          <w:lang w:val="en-US" w:eastAsia="zh-CN" w:bidi="ar-SA"/>
        </w:rPr>
        <w:t>1.</w:t>
      </w:r>
      <w:r>
        <w:rPr>
          <w:rFonts w:hint="eastAsia" w:ascii="宋体" w:hAnsi="宋体"/>
        </w:rPr>
        <w:t>报价方式</w:t>
      </w:r>
      <w:r>
        <w:rPr>
          <w:rFonts w:hint="eastAsia" w:ascii="宋体" w:hAnsi="宋体"/>
          <w:lang w:eastAsia="zh-CN"/>
        </w:rPr>
        <w:t>：</w:t>
      </w:r>
      <w:r>
        <w:rPr>
          <w:rFonts w:hint="eastAsia" w:ascii="宋体" w:hAnsi="宋体" w:cs="宋体"/>
          <w:szCs w:val="21"/>
        </w:rPr>
        <w:t>本次报价方式报总价，提供分项报价。综合单</w:t>
      </w:r>
      <w:r>
        <w:rPr>
          <w:rFonts w:hint="eastAsia" w:ascii="宋体" w:hAnsi="宋体" w:eastAsia="宋体" w:cs="宋体"/>
          <w:szCs w:val="21"/>
        </w:rPr>
        <w:t>价中应包包含商品到达采购人指定地点并能正常使用所需的一切费用，包括但不限于商品购置费、包装费、运输费、装卸费、保险费、安装调试费、技术服务费、培训费以及保修费、税费等一切费用。</w:t>
      </w:r>
    </w:p>
    <w:p w14:paraId="702E4D9B">
      <w:pPr>
        <w:numPr>
          <w:ilvl w:val="0"/>
          <w:numId w:val="0"/>
        </w:numPr>
        <w:ind w:left="420" w:leftChars="0" w:hanging="420" w:firstLineChars="0"/>
        <w:rPr>
          <w:rFonts w:hint="eastAsia" w:ascii="宋体" w:hAnsi="宋体" w:cs="宋体"/>
          <w:szCs w:val="21"/>
          <w:highlight w:val="none"/>
        </w:rPr>
      </w:pPr>
      <w:r>
        <w:rPr>
          <w:rFonts w:hint="eastAsia" w:ascii="宋体" w:hAnsi="宋体" w:eastAsia="宋体" w:cs="宋体"/>
          <w:sz w:val="21"/>
          <w:szCs w:val="21"/>
          <w:lang w:val="en-US" w:eastAsia="zh-CN" w:bidi="ar-SA"/>
        </w:rPr>
        <w:t>2</w:t>
      </w:r>
      <w:r>
        <w:rPr>
          <w:rFonts w:hint="eastAsia" w:ascii="宋体" w:hAnsi="宋体" w:eastAsia="宋体" w:cs="宋体"/>
          <w:sz w:val="21"/>
          <w:szCs w:val="21"/>
          <w:highlight w:val="none"/>
          <w:lang w:val="en-US" w:eastAsia="zh-CN" w:bidi="ar-SA"/>
        </w:rPr>
        <w:t>.</w:t>
      </w:r>
      <w:r>
        <w:rPr>
          <w:rFonts w:hint="eastAsia" w:ascii="宋体" w:hAnsi="宋体" w:cs="宋体"/>
          <w:szCs w:val="21"/>
          <w:highlight w:val="none"/>
        </w:rPr>
        <w:t>质保期：验收合格后，提供不少于</w:t>
      </w:r>
      <w:r>
        <w:rPr>
          <w:rFonts w:hint="eastAsia" w:ascii="宋体" w:hAnsi="宋体" w:cs="宋体"/>
          <w:szCs w:val="21"/>
          <w:highlight w:val="none"/>
          <w:lang w:val="en-US" w:eastAsia="zh-CN"/>
        </w:rPr>
        <w:t>1</w:t>
      </w:r>
      <w:r>
        <w:rPr>
          <w:rFonts w:hint="eastAsia" w:ascii="宋体" w:hAnsi="宋体" w:cs="宋体"/>
          <w:szCs w:val="21"/>
          <w:highlight w:val="none"/>
        </w:rPr>
        <w:t>年的免费产品质保。</w:t>
      </w:r>
    </w:p>
    <w:p w14:paraId="43C658BD">
      <w:pPr>
        <w:numPr>
          <w:ilvl w:val="0"/>
          <w:numId w:val="0"/>
        </w:numPr>
        <w:ind w:left="420" w:leftChars="0" w:hanging="420" w:firstLineChars="0"/>
        <w:rPr>
          <w:rFonts w:hint="eastAsia" w:ascii="宋体" w:hAnsi="宋体" w:cs="宋体"/>
          <w:szCs w:val="21"/>
          <w:highlight w:val="none"/>
        </w:rPr>
      </w:pPr>
      <w:r>
        <w:rPr>
          <w:rFonts w:hint="eastAsia" w:ascii="宋体" w:hAnsi="宋体" w:eastAsia="宋体" w:cs="宋体"/>
          <w:sz w:val="21"/>
          <w:szCs w:val="21"/>
          <w:highlight w:val="none"/>
          <w:lang w:val="en-US" w:eastAsia="zh-CN" w:bidi="ar-SA"/>
        </w:rPr>
        <w:t>3.</w:t>
      </w:r>
      <w:r>
        <w:rPr>
          <w:rFonts w:hint="eastAsia" w:ascii="宋体" w:hAnsi="宋体" w:cs="宋体"/>
          <w:szCs w:val="21"/>
          <w:highlight w:val="none"/>
        </w:rPr>
        <w:t>供货期：合同签订后，</w:t>
      </w:r>
      <w:r>
        <w:rPr>
          <w:rFonts w:hint="eastAsia" w:ascii="宋体" w:hAnsi="宋体" w:cs="宋体"/>
          <w:szCs w:val="21"/>
          <w:highlight w:val="none"/>
          <w:lang w:val="en-US" w:eastAsia="zh-CN"/>
        </w:rPr>
        <w:t>供应商应在3个月内完成开发工作，并安装部署试运行。</w:t>
      </w:r>
    </w:p>
    <w:p w14:paraId="0015A7EF">
      <w:pPr>
        <w:pStyle w:val="6"/>
        <w:numPr>
          <w:ilvl w:val="-1"/>
          <w:numId w:val="0"/>
        </w:numPr>
        <w:spacing w:line="360" w:lineRule="auto"/>
        <w:rPr>
          <w:rFonts w:hint="eastAsia" w:ascii="宋体" w:hAnsi="宋体" w:eastAsia="宋体" w:cs="宋体"/>
          <w:b w:val="0"/>
          <w:bCs w:val="0"/>
          <w:highlight w:val="none"/>
        </w:rPr>
      </w:pP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售后服务：</w:t>
      </w:r>
    </w:p>
    <w:p w14:paraId="6F5637EA">
      <w:pPr>
        <w:pStyle w:val="6"/>
        <w:numPr>
          <w:ilvl w:val="-1"/>
          <w:numId w:val="0"/>
        </w:numPr>
        <w:spacing w:line="360" w:lineRule="auto"/>
        <w:ind w:left="0" w:firstLine="420"/>
        <w:rPr>
          <w:rFonts w:hint="eastAsia" w:ascii="宋体" w:hAnsi="宋体" w:eastAsia="宋体" w:cs="宋体"/>
          <w:b w:val="0"/>
          <w:bCs w:val="0"/>
          <w:highlight w:val="none"/>
        </w:rPr>
      </w:pPr>
      <w:r>
        <w:rPr>
          <w:rFonts w:hint="eastAsia" w:ascii="宋体" w:hAnsi="宋体" w:cs="宋体"/>
          <w:b w:val="0"/>
          <w:bCs w:val="0"/>
          <w:highlight w:val="none"/>
          <w:lang w:val="en-US" w:eastAsia="zh-CN"/>
        </w:rPr>
        <w:t>4.1</w:t>
      </w:r>
      <w:r>
        <w:rPr>
          <w:rFonts w:hint="eastAsia" w:ascii="宋体" w:hAnsi="宋体" w:eastAsia="宋体" w:cs="宋体"/>
          <w:b w:val="0"/>
          <w:bCs w:val="0"/>
          <w:highlight w:val="none"/>
        </w:rPr>
        <w:t>响应时间：提供全年7×12小时（8：00-20：00）服务（电话、远程或现场），</w:t>
      </w: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小时内响应报修，需现场处理的故障在接到招标人通知后</w:t>
      </w:r>
      <w:r>
        <w:rPr>
          <w:rFonts w:hint="eastAsia" w:ascii="宋体" w:hAnsi="宋体" w:cs="宋体"/>
          <w:b w:val="0"/>
          <w:bCs w:val="0"/>
          <w:highlight w:val="none"/>
          <w:lang w:val="en-US" w:eastAsia="zh-CN"/>
        </w:rPr>
        <w:t>48</w:t>
      </w:r>
      <w:r>
        <w:rPr>
          <w:rFonts w:hint="eastAsia" w:ascii="宋体" w:hAnsi="宋体" w:eastAsia="宋体" w:cs="宋体"/>
          <w:b w:val="0"/>
          <w:bCs w:val="0"/>
          <w:highlight w:val="none"/>
        </w:rPr>
        <w:t>小时内到达现场。</w:t>
      </w:r>
    </w:p>
    <w:p w14:paraId="7385F76A">
      <w:pPr>
        <w:pStyle w:val="6"/>
        <w:numPr>
          <w:ilvl w:val="-1"/>
          <w:numId w:val="0"/>
        </w:numPr>
        <w:spacing w:line="360" w:lineRule="auto"/>
        <w:ind w:left="0" w:firstLine="420"/>
        <w:rPr>
          <w:rFonts w:hint="eastAsia" w:ascii="宋体" w:hAnsi="宋体" w:eastAsia="宋体" w:cs="Times New Roman"/>
          <w:b w:val="0"/>
          <w:bCs w:val="0"/>
          <w:highlight w:val="none"/>
        </w:rPr>
      </w:pPr>
      <w:r>
        <w:rPr>
          <w:rFonts w:hint="eastAsia" w:ascii="宋体" w:hAnsi="宋体" w:cs="宋体"/>
          <w:b w:val="0"/>
          <w:bCs w:val="0"/>
          <w:highlight w:val="none"/>
          <w:lang w:val="en-US" w:eastAsia="zh-CN"/>
        </w:rPr>
        <w:t>4.2</w:t>
      </w:r>
      <w:r>
        <w:rPr>
          <w:rFonts w:hint="eastAsia" w:ascii="宋体" w:hAnsi="宋体" w:eastAsia="宋体" w:cs="宋体"/>
          <w:b w:val="0"/>
          <w:bCs w:val="0"/>
          <w:highlight w:val="none"/>
        </w:rPr>
        <w:t>保修内容：</w:t>
      </w: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保修期内免费升级，保修期内提供技术支持</w:t>
      </w:r>
      <w:r>
        <w:rPr>
          <w:rFonts w:hint="eastAsia" w:ascii="宋体" w:hAnsi="宋体" w:cs="宋体"/>
          <w:b w:val="0"/>
          <w:bCs w:val="0"/>
          <w:highlight w:val="none"/>
          <w:lang w:eastAsia="zh-CN"/>
        </w:rPr>
        <w:t>；</w:t>
      </w:r>
      <w:r>
        <w:rPr>
          <w:rFonts w:hint="eastAsia" w:ascii="宋体" w:hAnsi="宋体" w:cs="宋体"/>
          <w:b w:val="0"/>
          <w:bCs w:val="0"/>
          <w:highlight w:val="none"/>
          <w:lang w:val="en-US" w:eastAsia="zh-CN"/>
        </w:rPr>
        <w:t>2）</w:t>
      </w:r>
      <w:r>
        <w:rPr>
          <w:rFonts w:hint="eastAsia" w:ascii="宋体" w:hAnsi="宋体" w:eastAsia="宋体" w:cs="宋体"/>
          <w:b w:val="0"/>
          <w:bCs w:val="0"/>
          <w:highlight w:val="none"/>
        </w:rPr>
        <w:t>软件的功能增强性维护等应用软件系统扩充升级（其中包括系统维护、跟踪检测），保证软件正常运行。</w:t>
      </w:r>
    </w:p>
    <w:p w14:paraId="7E97EF79">
      <w:pPr>
        <w:pStyle w:val="6"/>
        <w:numPr>
          <w:ilvl w:val="0"/>
          <w:numId w:val="0"/>
        </w:numPr>
        <w:spacing w:line="360" w:lineRule="auto"/>
        <w:ind w:left="420" w:leftChars="0" w:hanging="420" w:firstLineChars="0"/>
        <w:rPr>
          <w:rFonts w:hint="eastAsia" w:ascii="宋体" w:hAnsi="宋体" w:eastAsia="宋体" w:cs="Times New Roman"/>
          <w:b w:val="0"/>
          <w:bCs w:val="0"/>
          <w:highlight w:val="none"/>
          <w:lang w:val="en-US" w:eastAsia="zh-CN"/>
        </w:rPr>
      </w:pPr>
      <w:r>
        <w:rPr>
          <w:rFonts w:hint="eastAsia" w:ascii="宋体" w:hAnsi="宋体" w:cs="Times New Roman"/>
          <w:b w:val="0"/>
          <w:bCs w:val="0"/>
          <w:kern w:val="2"/>
          <w:sz w:val="21"/>
          <w:szCs w:val="20"/>
          <w:lang w:val="en-US" w:eastAsia="zh-CN" w:bidi="ar-SA"/>
        </w:rPr>
        <w:t>5</w:t>
      </w:r>
      <w:r>
        <w:rPr>
          <w:rFonts w:hint="eastAsia" w:ascii="宋体" w:hAnsi="宋体" w:eastAsia="宋体" w:cs="Times New Roman"/>
          <w:b w:val="0"/>
          <w:bCs w:val="0"/>
          <w:kern w:val="2"/>
          <w:sz w:val="21"/>
          <w:szCs w:val="20"/>
          <w:lang w:val="en-US" w:eastAsia="zh-CN" w:bidi="ar-SA"/>
        </w:rPr>
        <w:t>.</w:t>
      </w:r>
      <w:r>
        <w:rPr>
          <w:rFonts w:hint="eastAsia" w:ascii="宋体" w:hAnsi="宋体" w:cs="Times New Roman"/>
          <w:b w:val="0"/>
          <w:bCs w:val="0"/>
          <w:highlight w:val="none"/>
          <w:lang w:val="en-US" w:eastAsia="zh-CN"/>
        </w:rPr>
        <w:t>验收、安装部署</w:t>
      </w:r>
      <w:r>
        <w:rPr>
          <w:rFonts w:hint="eastAsia" w:ascii="宋体" w:hAnsi="宋体" w:eastAsia="宋体" w:cs="Times New Roman"/>
          <w:b w:val="0"/>
          <w:bCs w:val="0"/>
          <w:highlight w:val="none"/>
          <w:lang w:val="en-US" w:eastAsia="zh-CN"/>
        </w:rPr>
        <w:t>地点：</w:t>
      </w:r>
      <w:r>
        <w:rPr>
          <w:rFonts w:hint="eastAsia" w:ascii="宋体" w:hAnsi="宋体" w:cs="Times New Roman"/>
          <w:b w:val="0"/>
          <w:bCs w:val="0"/>
          <w:highlight w:val="none"/>
          <w:lang w:val="en-US" w:eastAsia="zh-CN"/>
        </w:rPr>
        <w:t>浙江大学温州研究院</w:t>
      </w:r>
      <w:r>
        <w:rPr>
          <w:rFonts w:hint="eastAsia" w:ascii="宋体" w:hAnsi="宋体" w:eastAsia="宋体" w:cs="Times New Roman"/>
          <w:b w:val="0"/>
          <w:bCs w:val="0"/>
          <w:highlight w:val="none"/>
          <w:lang w:val="en-US" w:eastAsia="zh-CN"/>
        </w:rPr>
        <w:t>指定地点。</w:t>
      </w:r>
    </w:p>
    <w:p w14:paraId="0EF945BC">
      <w:pPr>
        <w:pStyle w:val="6"/>
        <w:numPr>
          <w:ilvl w:val="0"/>
          <w:numId w:val="0"/>
        </w:numPr>
        <w:spacing w:line="360" w:lineRule="auto"/>
        <w:ind w:left="420" w:leftChars="0" w:hanging="420" w:firstLineChars="0"/>
        <w:rPr>
          <w:rFonts w:hint="eastAsia" w:ascii="宋体" w:hAnsi="宋体" w:eastAsia="宋体" w:cs="Times New Roman"/>
          <w:b w:val="0"/>
          <w:bCs w:val="0"/>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cs="Times New Roman"/>
          <w:b w:val="0"/>
          <w:bCs w:val="0"/>
          <w:kern w:val="2"/>
          <w:sz w:val="21"/>
          <w:szCs w:val="20"/>
          <w:lang w:val="en-US" w:eastAsia="zh-CN" w:bidi="ar-SA"/>
        </w:rPr>
        <w:t>6</w:t>
      </w:r>
      <w:r>
        <w:rPr>
          <w:rFonts w:hint="eastAsia" w:ascii="宋体" w:hAnsi="宋体" w:eastAsia="宋体" w:cs="Times New Roman"/>
          <w:b w:val="0"/>
          <w:bCs w:val="0"/>
          <w:kern w:val="2"/>
          <w:sz w:val="21"/>
          <w:szCs w:val="20"/>
          <w:lang w:val="en-US" w:eastAsia="zh-CN" w:bidi="ar-SA"/>
        </w:rPr>
        <w:t>.</w:t>
      </w:r>
      <w:r>
        <w:rPr>
          <w:rFonts w:hint="eastAsia" w:ascii="宋体" w:hAnsi="宋体" w:eastAsia="宋体" w:cs="Times New Roman"/>
          <w:b w:val="0"/>
          <w:bCs w:val="0"/>
          <w:highlight w:val="none"/>
          <w:lang w:val="en-US" w:eastAsia="zh-CN"/>
        </w:rPr>
        <w:t>对规格参数要求有任何疑问，请联系</w:t>
      </w:r>
      <w:r>
        <w:rPr>
          <w:rFonts w:hint="eastAsia" w:ascii="宋体" w:hAnsi="宋体" w:cs="Times New Roman"/>
          <w:b w:val="0"/>
          <w:bCs w:val="0"/>
          <w:highlight w:val="none"/>
          <w:lang w:val="en-US" w:eastAsia="zh-CN"/>
        </w:rPr>
        <w:t>需求人李露老师，联系方式19519799131。</w:t>
      </w:r>
    </w:p>
    <w:p w14:paraId="0D9E48F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1"/>
    <w:bookmarkEnd w:id="2"/>
    <w:bookmarkEnd w:id="3"/>
    <w:p w14:paraId="3C0C71C2">
      <w:pPr>
        <w:numPr>
          <w:ilvl w:val="0"/>
          <w:numId w:val="2"/>
        </w:numPr>
        <w:tabs>
          <w:tab w:val="left" w:pos="312"/>
        </w:tabs>
        <w:rPr>
          <w:b w:val="0"/>
          <w:bCs/>
          <w:color w:val="auto"/>
        </w:rPr>
      </w:pPr>
      <w:r>
        <w:rPr>
          <w:rFonts w:hint="eastAsia" w:ascii="宋体" w:hAnsi="宋体"/>
          <w:b w:val="0"/>
          <w:bCs/>
          <w:color w:val="auto"/>
        </w:rPr>
        <w:t>所有报价供应商均为认同并遵守本在线询价中的所有要求。</w:t>
      </w:r>
    </w:p>
    <w:p w14:paraId="61BBDAE4">
      <w:pPr>
        <w:numPr>
          <w:ilvl w:val="0"/>
          <w:numId w:val="2"/>
        </w:numPr>
        <w:tabs>
          <w:tab w:val="left" w:pos="312"/>
        </w:tabs>
        <w:rPr>
          <w:b w:val="0"/>
          <w:bCs/>
          <w:color w:val="auto"/>
        </w:rPr>
      </w:pPr>
      <w:r>
        <w:rPr>
          <w:rFonts w:hint="eastAsia"/>
          <w:b w:val="0"/>
          <w:bCs/>
          <w:color w:val="auto"/>
        </w:rPr>
        <w:t>中标供应商如因自身原因放弃项目的中标资格或者拒签合同的，原则上不得参加对该项目重新开展的采购活动。</w:t>
      </w:r>
    </w:p>
    <w:p w14:paraId="6D446715">
      <w:pPr>
        <w:numPr>
          <w:ilvl w:val="0"/>
          <w:numId w:val="2"/>
        </w:numPr>
        <w:tabs>
          <w:tab w:val="left" w:pos="312"/>
        </w:tabs>
        <w:rPr>
          <w:b w:val="0"/>
          <w:bCs/>
          <w:color w:val="auto"/>
        </w:rPr>
      </w:pPr>
      <w:r>
        <w:rPr>
          <w:rFonts w:hint="eastAsia" w:ascii="宋体" w:hAnsi="宋体"/>
          <w:b w:val="0"/>
          <w:bCs/>
          <w:color w:val="auto"/>
        </w:rPr>
        <w:t>针对上述要求，报价单位必须认真审核本在线询价采购文件中的所有要求。</w:t>
      </w:r>
    </w:p>
    <w:p w14:paraId="7C6B7C6C">
      <w:pPr>
        <w:tabs>
          <w:tab w:val="left" w:pos="-200"/>
          <w:tab w:val="left" w:pos="0"/>
        </w:tabs>
        <w:spacing w:line="240" w:lineRule="auto"/>
        <w:rPr>
          <w:rFonts w:hint="eastAsia" w:ascii="宋体" w:hAnsi="宋体"/>
          <w:b w:val="0"/>
          <w:bCs/>
          <w:color w:val="auto"/>
          <w:highlight w:val="none"/>
        </w:rPr>
      </w:pPr>
      <w:r>
        <w:rPr>
          <w:rFonts w:hint="eastAsia" w:ascii="宋体" w:hAnsi="宋体"/>
          <w:b w:val="0"/>
          <w:bCs/>
          <w:color w:val="auto"/>
          <w:highlight w:val="none"/>
        </w:rPr>
        <w:t>报价供应商需</w:t>
      </w:r>
      <w:r>
        <w:rPr>
          <w:rFonts w:hint="eastAsia" w:ascii="宋体" w:hAnsi="宋体"/>
          <w:b w:val="0"/>
          <w:bCs/>
          <w:color w:val="auto"/>
          <w:highlight w:val="none"/>
          <w:lang w:val="en-US" w:eastAsia="zh-CN"/>
        </w:rPr>
        <w:t>将加盖公章的合格有效的企业营业执照复印件、报价单（附件2）文件发送至邮箱zdwzyjy2023@163.com，</w:t>
      </w:r>
      <w:r>
        <w:rPr>
          <w:rFonts w:hint="eastAsia" w:ascii="宋体" w:hAnsi="宋体"/>
          <w:b w:val="0"/>
          <w:bCs/>
          <w:color w:val="auto"/>
          <w:highlight w:val="none"/>
        </w:rPr>
        <w:t>未按要求提交的供应商，采购人可按无效响应处理。</w:t>
      </w:r>
    </w:p>
    <w:p w14:paraId="22595CB6">
      <w:pPr>
        <w:ind w:left="0" w:leftChars="0" w:firstLine="0" w:firstLineChars="0"/>
        <w:rPr>
          <w:rFonts w:hint="eastAsia"/>
          <w:w w:val="95"/>
          <w:lang w:val="en-US" w:eastAsia="zh-CN"/>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3CF89F-5C8D-47A2-954E-5E56489F7F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2" w:fontKey="{3FF815F8-4223-40F4-880C-FD3E01557A37}"/>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6E92">
    <w:pPr>
      <w:pStyle w:val="10"/>
      <w:jc w:val="center"/>
    </w:pPr>
  </w:p>
  <w:p w14:paraId="364A26E1">
    <w:pPr>
      <w:pStyle w:val="10"/>
    </w:pPr>
  </w:p>
  <w:p w14:paraId="526A433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2906">
    <w:pPr>
      <w:pStyle w:val="10"/>
      <w:jc w:val="right"/>
      <w:rPr>
        <w:rFonts w:hint="eastAsia"/>
      </w:rPr>
    </w:pPr>
  </w:p>
  <w:p w14:paraId="77BA63A2">
    <w:pPr>
      <w:pStyle w:val="10"/>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6002">
    <w:pPr>
      <w:pStyle w:val="10"/>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2011">
    <w:pPr>
      <w:pStyle w:val="10"/>
      <w:jc w:val="right"/>
      <w:rPr>
        <w:rFonts w:hint="eastAsia"/>
      </w:rPr>
    </w:pPr>
  </w:p>
  <w:p w14:paraId="6E0ACC09">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2067">
    <w:pPr>
      <w:pStyle w:val="11"/>
      <w:pBdr>
        <w:bottom w:val="none" w:color="auto" w:sz="0" w:space="1"/>
      </w:pBdr>
    </w:pPr>
  </w:p>
  <w:p w14:paraId="6C478CD8">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1B80">
    <w:pPr>
      <w:pStyle w:val="11"/>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0B2118">
                          <w:pPr>
                            <w:pStyle w:val="11"/>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QvxOIBAADMAwAADgAA&#10;AAAAAAABACAAAAAeAQAAZHJzL2Uyb0RvYy54bWxQSwUGAAAAAAYABgBZAQAAcgUAAAAA&#10;">
              <v:fill on="f" focussize="0,0"/>
              <v:stroke on="f"/>
              <v:imagedata o:title=""/>
              <o:lock v:ext="edit" aspectratio="f"/>
              <v:textbox inset="0mm,0mm,0mm,0mm" style="mso-fit-shape-to-text:t;">
                <w:txbxContent>
                  <w:p w14:paraId="1F0B2118">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8B464">
    <w:pPr>
      <w:pStyle w:val="11"/>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E45632">
                          <w:pPr>
                            <w:pStyle w:val="11"/>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l5fOjOIBAADMAwAADgAA&#10;AAAAAAABACAAAAAeAQAAZHJzL2Uyb0RvYy54bWxQSwUGAAAAAAYABgBZAQAAcgUAAAAA&#10;">
              <v:fill on="f" focussize="0,0"/>
              <v:stroke on="f"/>
              <v:imagedata o:title=""/>
              <o:lock v:ext="edit" aspectratio="f"/>
              <v:textbox inset="0mm,0mm,0mm,0mm" style="mso-fit-shape-to-text:t;">
                <w:txbxContent>
                  <w:p w14:paraId="2BE45632">
                    <w:pPr>
                      <w:pStyle w:val="11"/>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9EE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C74355"/>
    <w:rsid w:val="02AA3507"/>
    <w:rsid w:val="045D1931"/>
    <w:rsid w:val="05311908"/>
    <w:rsid w:val="06E520F4"/>
    <w:rsid w:val="072B07EF"/>
    <w:rsid w:val="08B822CA"/>
    <w:rsid w:val="08DE6D0E"/>
    <w:rsid w:val="08E07DAE"/>
    <w:rsid w:val="09825398"/>
    <w:rsid w:val="09CA0A04"/>
    <w:rsid w:val="0A717562"/>
    <w:rsid w:val="0ABA5EA1"/>
    <w:rsid w:val="0C5F2995"/>
    <w:rsid w:val="0CAF5FEF"/>
    <w:rsid w:val="0DAD52C5"/>
    <w:rsid w:val="0DDD3A40"/>
    <w:rsid w:val="0E9D6C3E"/>
    <w:rsid w:val="0EDC362F"/>
    <w:rsid w:val="10D455F8"/>
    <w:rsid w:val="117D06E9"/>
    <w:rsid w:val="118E147B"/>
    <w:rsid w:val="11B97609"/>
    <w:rsid w:val="11E87017"/>
    <w:rsid w:val="125005C8"/>
    <w:rsid w:val="13C51693"/>
    <w:rsid w:val="148661A5"/>
    <w:rsid w:val="14A64372"/>
    <w:rsid w:val="14EB00CF"/>
    <w:rsid w:val="14ED489F"/>
    <w:rsid w:val="17306CB6"/>
    <w:rsid w:val="173D3514"/>
    <w:rsid w:val="176D2F9A"/>
    <w:rsid w:val="17A821AF"/>
    <w:rsid w:val="181518F2"/>
    <w:rsid w:val="182B76F5"/>
    <w:rsid w:val="18867185"/>
    <w:rsid w:val="191275A0"/>
    <w:rsid w:val="19BE4D51"/>
    <w:rsid w:val="19D674A8"/>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7E965F8"/>
    <w:rsid w:val="28A344EE"/>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08668A"/>
    <w:rsid w:val="34A84B23"/>
    <w:rsid w:val="35521561"/>
    <w:rsid w:val="35774001"/>
    <w:rsid w:val="35A60508"/>
    <w:rsid w:val="36A35E5F"/>
    <w:rsid w:val="36A550B7"/>
    <w:rsid w:val="36C5744F"/>
    <w:rsid w:val="378568C1"/>
    <w:rsid w:val="39E07CA6"/>
    <w:rsid w:val="3A51125F"/>
    <w:rsid w:val="3A6F5774"/>
    <w:rsid w:val="3A8C2FFF"/>
    <w:rsid w:val="3AEF469A"/>
    <w:rsid w:val="3B4E1AB7"/>
    <w:rsid w:val="3B911029"/>
    <w:rsid w:val="3C084000"/>
    <w:rsid w:val="3C131FCD"/>
    <w:rsid w:val="3C254856"/>
    <w:rsid w:val="3C285DC3"/>
    <w:rsid w:val="3C8A20C2"/>
    <w:rsid w:val="3CBF2950"/>
    <w:rsid w:val="3DE95596"/>
    <w:rsid w:val="3E6C50D8"/>
    <w:rsid w:val="3EF80D60"/>
    <w:rsid w:val="3F8F360F"/>
    <w:rsid w:val="402D19C4"/>
    <w:rsid w:val="41635215"/>
    <w:rsid w:val="41FF4E9C"/>
    <w:rsid w:val="42024A2E"/>
    <w:rsid w:val="42253CE8"/>
    <w:rsid w:val="42D279D5"/>
    <w:rsid w:val="43E03B02"/>
    <w:rsid w:val="444C361A"/>
    <w:rsid w:val="44876705"/>
    <w:rsid w:val="44A51168"/>
    <w:rsid w:val="44FB5B53"/>
    <w:rsid w:val="45A755F8"/>
    <w:rsid w:val="45DD43F2"/>
    <w:rsid w:val="468B269B"/>
    <w:rsid w:val="475424A4"/>
    <w:rsid w:val="48582252"/>
    <w:rsid w:val="48686A79"/>
    <w:rsid w:val="490C5FBD"/>
    <w:rsid w:val="4A32299A"/>
    <w:rsid w:val="4B045373"/>
    <w:rsid w:val="4C6B3B21"/>
    <w:rsid w:val="4D5B371F"/>
    <w:rsid w:val="4D6B4F60"/>
    <w:rsid w:val="4D852C5F"/>
    <w:rsid w:val="4EA05C5B"/>
    <w:rsid w:val="4F1862AA"/>
    <w:rsid w:val="4F187423"/>
    <w:rsid w:val="4F365532"/>
    <w:rsid w:val="4FCC1DAC"/>
    <w:rsid w:val="51652AEA"/>
    <w:rsid w:val="51B46785"/>
    <w:rsid w:val="525A7155"/>
    <w:rsid w:val="52C00EF4"/>
    <w:rsid w:val="533B7DA0"/>
    <w:rsid w:val="5353276D"/>
    <w:rsid w:val="53840F34"/>
    <w:rsid w:val="53D5425E"/>
    <w:rsid w:val="54257DE3"/>
    <w:rsid w:val="5498297C"/>
    <w:rsid w:val="557939A9"/>
    <w:rsid w:val="56793775"/>
    <w:rsid w:val="569C025C"/>
    <w:rsid w:val="570A6829"/>
    <w:rsid w:val="57A14A13"/>
    <w:rsid w:val="58325980"/>
    <w:rsid w:val="58DC271C"/>
    <w:rsid w:val="59B85E5B"/>
    <w:rsid w:val="5BEB0CA6"/>
    <w:rsid w:val="5CB97774"/>
    <w:rsid w:val="5CEE34CC"/>
    <w:rsid w:val="5D457319"/>
    <w:rsid w:val="5E1930B1"/>
    <w:rsid w:val="5E7C4F42"/>
    <w:rsid w:val="5E902291"/>
    <w:rsid w:val="5FF6114B"/>
    <w:rsid w:val="63E42C62"/>
    <w:rsid w:val="64C44014"/>
    <w:rsid w:val="64FE478A"/>
    <w:rsid w:val="65904CE4"/>
    <w:rsid w:val="66E203FE"/>
    <w:rsid w:val="6821710D"/>
    <w:rsid w:val="683E21B2"/>
    <w:rsid w:val="684E4409"/>
    <w:rsid w:val="687D07DA"/>
    <w:rsid w:val="69976A08"/>
    <w:rsid w:val="6A3824EC"/>
    <w:rsid w:val="6B04059F"/>
    <w:rsid w:val="6B734732"/>
    <w:rsid w:val="6C155E31"/>
    <w:rsid w:val="6E4476B1"/>
    <w:rsid w:val="6E8E3BBC"/>
    <w:rsid w:val="6ED445AA"/>
    <w:rsid w:val="6F081BAF"/>
    <w:rsid w:val="6F17563E"/>
    <w:rsid w:val="6F5B0B3B"/>
    <w:rsid w:val="7036041C"/>
    <w:rsid w:val="7084409A"/>
    <w:rsid w:val="71203116"/>
    <w:rsid w:val="715B317C"/>
    <w:rsid w:val="716A2545"/>
    <w:rsid w:val="71CE1C8A"/>
    <w:rsid w:val="71EC6A4F"/>
    <w:rsid w:val="722756E9"/>
    <w:rsid w:val="725A1750"/>
    <w:rsid w:val="727B68B1"/>
    <w:rsid w:val="729C519F"/>
    <w:rsid w:val="73D44508"/>
    <w:rsid w:val="74240A14"/>
    <w:rsid w:val="742B25FC"/>
    <w:rsid w:val="74687C26"/>
    <w:rsid w:val="748D7846"/>
    <w:rsid w:val="74AE27A1"/>
    <w:rsid w:val="74D7167A"/>
    <w:rsid w:val="74E725F0"/>
    <w:rsid w:val="74E76FE8"/>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eastAsia="宋体" w:cs="宋体"/>
      <w:sz w:val="28"/>
      <w:szCs w:val="28"/>
    </w:rPr>
  </w:style>
  <w:style w:type="paragraph" w:styleId="4">
    <w:name w:val="heading 3"/>
    <w:basedOn w:val="1"/>
    <w:next w:val="1"/>
    <w:autoRedefine/>
    <w:qFormat/>
    <w:uiPriority w:val="1"/>
    <w:pPr>
      <w:spacing w:before="34"/>
      <w:ind w:left="123"/>
      <w:outlineLvl w:val="2"/>
    </w:pPr>
    <w:rPr>
      <w:rFonts w:ascii="宋体" w:hAnsi="宋体" w:eastAsia="宋体" w:cs="宋体"/>
      <w:sz w:val="24"/>
      <w:szCs w:val="24"/>
    </w:rPr>
  </w:style>
  <w:style w:type="paragraph" w:styleId="5">
    <w:name w:val="heading 5"/>
    <w:basedOn w:val="1"/>
    <w:next w:val="1"/>
    <w:autoRedefine/>
    <w:qFormat/>
    <w:uiPriority w:val="1"/>
    <w:pPr>
      <w:spacing w:before="21"/>
      <w:ind w:left="910"/>
      <w:outlineLvl w:val="4"/>
    </w:pPr>
    <w:rPr>
      <w:rFonts w:ascii="宋体" w:hAnsi="宋体" w:eastAsia="宋体" w:cs="宋体"/>
      <w:b/>
      <w:bCs/>
      <w:sz w:val="21"/>
      <w:szCs w:val="21"/>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kern w:val="0"/>
      <w:sz w:val="20"/>
      <w:szCs w:val="20"/>
      <w:lang w:eastAsia="en-US"/>
    </w:rPr>
  </w:style>
  <w:style w:type="paragraph" w:styleId="8">
    <w:name w:val="Body Text"/>
    <w:basedOn w:val="1"/>
    <w:autoRedefine/>
    <w:qFormat/>
    <w:uiPriority w:val="1"/>
    <w:pPr>
      <w:ind w:left="543"/>
    </w:pPr>
    <w:rPr>
      <w:rFonts w:ascii="宋体" w:hAnsi="宋体" w:eastAsia="宋体" w:cs="宋体"/>
      <w:sz w:val="21"/>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7"/>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8"/>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页脚 Char"/>
    <w:basedOn w:val="15"/>
    <w:link w:val="10"/>
    <w:autoRedefine/>
    <w:qFormat/>
    <w:uiPriority w:val="99"/>
    <w:rPr>
      <w:sz w:val="18"/>
      <w:szCs w:val="18"/>
    </w:rPr>
  </w:style>
  <w:style w:type="character" w:customStyle="1" w:styleId="18">
    <w:name w:val="页眉 Char"/>
    <w:basedOn w:val="15"/>
    <w:link w:val="11"/>
    <w:autoRedefine/>
    <w:qFormat/>
    <w:uiPriority w:val="99"/>
    <w:rPr>
      <w:sz w:val="18"/>
      <w:szCs w:val="18"/>
    </w:rPr>
  </w:style>
  <w:style w:type="paragraph" w:customStyle="1" w:styleId="19">
    <w:name w:val="BodyText1I2"/>
    <w:basedOn w:val="20"/>
    <w:autoRedefine/>
    <w:qFormat/>
    <w:uiPriority w:val="0"/>
    <w:pPr>
      <w:spacing w:after="120" w:line="240" w:lineRule="auto"/>
      <w:ind w:left="420" w:leftChars="200" w:firstLine="420" w:firstLineChars="200"/>
      <w:jc w:val="both"/>
      <w:textAlignment w:val="baseline"/>
    </w:pPr>
  </w:style>
  <w:style w:type="paragraph" w:customStyle="1" w:styleId="20">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character" w:customStyle="1" w:styleId="21">
    <w:name w:val="font11"/>
    <w:basedOn w:val="15"/>
    <w:autoRedefine/>
    <w:qFormat/>
    <w:uiPriority w:val="0"/>
    <w:rPr>
      <w:rFonts w:hint="eastAsia" w:ascii="宋体" w:hAnsi="宋体" w:eastAsia="宋体" w:cs="宋体"/>
      <w:color w:val="000000"/>
      <w:sz w:val="24"/>
      <w:szCs w:val="24"/>
      <w:u w:val="none"/>
    </w:rPr>
  </w:style>
  <w:style w:type="character" w:customStyle="1" w:styleId="22">
    <w:name w:val="font01"/>
    <w:basedOn w:val="15"/>
    <w:autoRedefine/>
    <w:qFormat/>
    <w:uiPriority w:val="0"/>
    <w:rPr>
      <w:rFonts w:hint="eastAsia" w:ascii="宋体" w:hAnsi="宋体" w:eastAsia="宋体" w:cs="宋体"/>
      <w:b/>
      <w:color w:val="000000"/>
      <w:sz w:val="24"/>
      <w:szCs w:val="24"/>
      <w:u w:val="none"/>
    </w:rPr>
  </w:style>
  <w:style w:type="character" w:customStyle="1" w:styleId="23">
    <w:name w:val="gray s"/>
    <w:basedOn w:val="15"/>
    <w:autoRedefine/>
    <w:qFormat/>
    <w:uiPriority w:val="0"/>
  </w:style>
  <w:style w:type="character" w:customStyle="1" w:styleId="24">
    <w:name w:val="Heading #1|1_"/>
    <w:basedOn w:val="15"/>
    <w:link w:val="25"/>
    <w:autoRedefine/>
    <w:qFormat/>
    <w:uiPriority w:val="0"/>
    <w:rPr>
      <w:rFonts w:ascii="宋体" w:hAnsi="宋体" w:eastAsia="宋体" w:cs="宋体"/>
      <w:sz w:val="38"/>
      <w:szCs w:val="38"/>
      <w:lang w:val="zh-TW" w:eastAsia="zh-TW" w:bidi="zh-TW"/>
    </w:rPr>
  </w:style>
  <w:style w:type="paragraph" w:customStyle="1" w:styleId="25">
    <w:name w:val="Heading #1|1"/>
    <w:basedOn w:val="1"/>
    <w:link w:val="24"/>
    <w:autoRedefine/>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character" w:customStyle="1" w:styleId="26">
    <w:name w:val="Header or footer|2_"/>
    <w:basedOn w:val="15"/>
    <w:link w:val="27"/>
    <w:autoRedefine/>
    <w:qFormat/>
    <w:uiPriority w:val="0"/>
    <w:rPr>
      <w:lang w:val="zh-TW" w:eastAsia="zh-TW" w:bidi="zh-TW"/>
    </w:rPr>
  </w:style>
  <w:style w:type="paragraph" w:customStyle="1" w:styleId="27">
    <w:name w:val="Header or footer|2"/>
    <w:basedOn w:val="1"/>
    <w:link w:val="26"/>
    <w:autoRedefine/>
    <w:qFormat/>
    <w:uiPriority w:val="0"/>
    <w:pPr>
      <w:spacing w:line="240" w:lineRule="auto"/>
      <w:ind w:firstLine="0"/>
      <w:jc w:val="left"/>
    </w:pPr>
    <w:rPr>
      <w:sz w:val="20"/>
      <w:szCs w:val="20"/>
      <w:lang w:val="zh-TW" w:eastAsia="zh-TW" w:bidi="zh-TW"/>
    </w:rPr>
  </w:style>
  <w:style w:type="character" w:customStyle="1" w:styleId="28">
    <w:name w:val="Body text|2_"/>
    <w:basedOn w:val="15"/>
    <w:link w:val="29"/>
    <w:autoRedefine/>
    <w:qFormat/>
    <w:uiPriority w:val="0"/>
    <w:rPr>
      <w:b/>
      <w:bCs/>
      <w:color w:val="0000E7"/>
      <w:sz w:val="18"/>
      <w:szCs w:val="18"/>
      <w:lang w:val="zh-TW" w:eastAsia="zh-TW" w:bidi="zh-TW"/>
    </w:rPr>
  </w:style>
  <w:style w:type="paragraph" w:customStyle="1" w:styleId="29">
    <w:name w:val="Body text|2"/>
    <w:basedOn w:val="1"/>
    <w:link w:val="28"/>
    <w:autoRedefine/>
    <w:qFormat/>
    <w:uiPriority w:val="0"/>
    <w:pPr>
      <w:spacing w:after="140" w:line="240" w:lineRule="auto"/>
      <w:ind w:firstLine="0"/>
      <w:jc w:val="right"/>
    </w:pPr>
    <w:rPr>
      <w:b/>
      <w:bCs/>
      <w:color w:val="0000E7"/>
      <w:sz w:val="18"/>
      <w:szCs w:val="18"/>
      <w:lang w:val="zh-TW" w:eastAsia="zh-TW" w:bidi="zh-TW"/>
    </w:rPr>
  </w:style>
  <w:style w:type="character" w:customStyle="1" w:styleId="30">
    <w:name w:val="Body text|1_"/>
    <w:basedOn w:val="15"/>
    <w:link w:val="31"/>
    <w:autoRedefine/>
    <w:qFormat/>
    <w:uiPriority w:val="0"/>
    <w:rPr>
      <w:rFonts w:ascii="宋体" w:hAnsi="宋体" w:eastAsia="宋体" w:cs="宋体"/>
      <w:sz w:val="16"/>
      <w:szCs w:val="16"/>
      <w:lang w:val="zh-TW" w:eastAsia="zh-TW" w:bidi="zh-TW"/>
    </w:rPr>
  </w:style>
  <w:style w:type="paragraph" w:customStyle="1" w:styleId="31">
    <w:name w:val="Body text|1"/>
    <w:basedOn w:val="1"/>
    <w:link w:val="30"/>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2">
    <w:name w:val="Table caption|1_"/>
    <w:basedOn w:val="15"/>
    <w:link w:val="33"/>
    <w:autoRedefine/>
    <w:qFormat/>
    <w:uiPriority w:val="0"/>
    <w:rPr>
      <w:rFonts w:ascii="宋体" w:hAnsi="宋体" w:eastAsia="宋体" w:cs="宋体"/>
      <w:sz w:val="16"/>
      <w:szCs w:val="16"/>
      <w:lang w:val="zh-TW" w:eastAsia="zh-TW" w:bidi="zh-TW"/>
    </w:rPr>
  </w:style>
  <w:style w:type="paragraph" w:customStyle="1" w:styleId="33">
    <w:name w:val="Table caption|1"/>
    <w:basedOn w:val="1"/>
    <w:link w:val="32"/>
    <w:autoRedefine/>
    <w:qFormat/>
    <w:uiPriority w:val="0"/>
    <w:pPr>
      <w:spacing w:line="240" w:lineRule="auto"/>
      <w:ind w:firstLine="0"/>
      <w:jc w:val="right"/>
    </w:pPr>
    <w:rPr>
      <w:rFonts w:ascii="宋体" w:hAnsi="宋体" w:eastAsia="宋体" w:cs="宋体"/>
      <w:sz w:val="16"/>
      <w:szCs w:val="16"/>
      <w:lang w:val="zh-TW" w:eastAsia="zh-TW" w:bidi="zh-TW"/>
    </w:rPr>
  </w:style>
  <w:style w:type="character" w:customStyle="1" w:styleId="34">
    <w:name w:val="Other|1_"/>
    <w:basedOn w:val="15"/>
    <w:link w:val="35"/>
    <w:autoRedefine/>
    <w:qFormat/>
    <w:uiPriority w:val="0"/>
    <w:rPr>
      <w:rFonts w:ascii="宋体" w:hAnsi="宋体" w:eastAsia="宋体" w:cs="宋体"/>
      <w:sz w:val="16"/>
      <w:szCs w:val="16"/>
      <w:lang w:val="zh-TW" w:eastAsia="zh-TW" w:bidi="zh-TW"/>
    </w:rPr>
  </w:style>
  <w:style w:type="paragraph" w:customStyle="1" w:styleId="35">
    <w:name w:val="Other|1"/>
    <w:basedOn w:val="1"/>
    <w:link w:val="34"/>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6">
    <w:name w:val="Body text|4_"/>
    <w:basedOn w:val="15"/>
    <w:link w:val="37"/>
    <w:autoRedefine/>
    <w:qFormat/>
    <w:uiPriority w:val="0"/>
    <w:rPr>
      <w:rFonts w:ascii="宋体" w:hAnsi="宋体" w:eastAsia="宋体" w:cs="宋体"/>
      <w:color w:val="4068DD"/>
      <w:sz w:val="18"/>
      <w:szCs w:val="18"/>
      <w:lang w:val="zh-TW" w:eastAsia="zh-TW" w:bidi="zh-TW"/>
    </w:rPr>
  </w:style>
  <w:style w:type="paragraph" w:customStyle="1" w:styleId="37">
    <w:name w:val="Body text|4"/>
    <w:basedOn w:val="1"/>
    <w:link w:val="36"/>
    <w:autoRedefine/>
    <w:qFormat/>
    <w:uiPriority w:val="0"/>
    <w:pPr>
      <w:spacing w:after="40" w:line="245" w:lineRule="exact"/>
      <w:ind w:firstLine="240"/>
      <w:jc w:val="left"/>
    </w:pPr>
    <w:rPr>
      <w:rFonts w:ascii="宋体" w:hAnsi="宋体" w:eastAsia="宋体" w:cs="宋体"/>
      <w:color w:val="4068DD"/>
      <w:sz w:val="18"/>
      <w:szCs w:val="18"/>
      <w:lang w:val="zh-TW" w:eastAsia="zh-TW" w:bidi="zh-TW"/>
    </w:rPr>
  </w:style>
  <w:style w:type="character" w:customStyle="1" w:styleId="38">
    <w:name w:val="Body text|3_"/>
    <w:basedOn w:val="15"/>
    <w:link w:val="39"/>
    <w:autoRedefine/>
    <w:qFormat/>
    <w:uiPriority w:val="0"/>
    <w:rPr>
      <w:i/>
      <w:iCs/>
      <w:color w:val="4068DD"/>
      <w:sz w:val="22"/>
      <w:szCs w:val="22"/>
      <w:lang w:val="zh-TW" w:eastAsia="zh-TW" w:bidi="zh-TW"/>
    </w:rPr>
  </w:style>
  <w:style w:type="paragraph" w:customStyle="1" w:styleId="39">
    <w:name w:val="Body text|3"/>
    <w:basedOn w:val="1"/>
    <w:link w:val="38"/>
    <w:autoRedefine/>
    <w:qFormat/>
    <w:uiPriority w:val="0"/>
    <w:pPr>
      <w:spacing w:after="40" w:line="240" w:lineRule="auto"/>
      <w:ind w:firstLine="240"/>
      <w:jc w:val="left"/>
    </w:pPr>
    <w:rPr>
      <w:i/>
      <w:iCs/>
      <w:color w:val="4068DD"/>
      <w:sz w:val="22"/>
      <w:szCs w:val="22"/>
      <w:lang w:val="zh-TW" w:eastAsia="zh-TW" w:bidi="zh-TW"/>
    </w:rPr>
  </w:style>
  <w:style w:type="paragraph" w:customStyle="1" w:styleId="40">
    <w:name w:val="Table Paragraph"/>
    <w:basedOn w:val="1"/>
    <w:autoRedefine/>
    <w:qFormat/>
    <w:uiPriority w:val="1"/>
    <w:rPr>
      <w:rFonts w:ascii="宋体" w:hAnsi="宋体" w:eastAsia="宋体" w:cs="宋体"/>
    </w:rPr>
  </w:style>
  <w:style w:type="paragraph" w:styleId="41">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1649</Words>
  <Characters>1775</Characters>
  <Lines>47</Lines>
  <Paragraphs>13</Paragraphs>
  <TotalTime>5</TotalTime>
  <ScaleCrop>false</ScaleCrop>
  <LinksUpToDate>false</LinksUpToDate>
  <CharactersWithSpaces>1775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2026-02-02T07:45:34Z</dcterms:modified>
  <dc:title>60L型开水器主要参数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