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30B4D">
      <w:pPr>
        <w:jc w:val="center"/>
        <w:rPr>
          <w:b/>
          <w:sz w:val="68"/>
          <w:szCs w:val="68"/>
        </w:rPr>
      </w:pPr>
    </w:p>
    <w:p w14:paraId="37D55CAB">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0F50ED4E">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2EAC935E">
      <w:pPr>
        <w:jc w:val="center"/>
        <w:rPr>
          <w:b/>
          <w:sz w:val="72"/>
          <w:szCs w:val="72"/>
        </w:rPr>
      </w:pPr>
    </w:p>
    <w:p w14:paraId="2D9E424F">
      <w:pPr>
        <w:jc w:val="center"/>
        <w:rPr>
          <w:b/>
          <w:sz w:val="72"/>
          <w:szCs w:val="72"/>
        </w:rPr>
      </w:pPr>
    </w:p>
    <w:p w14:paraId="2B629D47">
      <w:pPr>
        <w:jc w:val="center"/>
        <w:rPr>
          <w:b/>
          <w:sz w:val="72"/>
          <w:szCs w:val="72"/>
        </w:rPr>
      </w:pPr>
    </w:p>
    <w:p w14:paraId="013878B3">
      <w:pPr>
        <w:snapToGrid w:val="0"/>
        <w:rPr>
          <w:b/>
          <w:sz w:val="28"/>
          <w:szCs w:val="28"/>
        </w:rPr>
      </w:pPr>
    </w:p>
    <w:p w14:paraId="6E7B1E93">
      <w:pPr>
        <w:pStyle w:val="9"/>
        <w:snapToGrid w:val="0"/>
        <w:spacing w:before="156" w:after="156" w:line="360" w:lineRule="auto"/>
        <w:ind w:firstLine="0"/>
        <w:jc w:val="center"/>
        <w:rPr>
          <w:rFonts w:ascii="Times New Roman" w:hAnsi="Times New Roman"/>
          <w:b/>
          <w:sz w:val="32"/>
          <w:szCs w:val="32"/>
        </w:rPr>
      </w:pPr>
      <w:r>
        <w:rPr>
          <w:rFonts w:ascii="Times New Roman" w:hAnsi="Times New Roman"/>
          <w:b/>
          <w:sz w:val="32"/>
          <w:szCs w:val="32"/>
        </w:rPr>
        <w:t>项目名称：</w:t>
      </w:r>
      <w:r>
        <w:rPr>
          <w:rFonts w:hint="eastAsia" w:ascii="Times New Roman" w:hAnsi="Times New Roman"/>
          <w:b/>
          <w:sz w:val="32"/>
          <w:szCs w:val="32"/>
        </w:rPr>
        <w:t>投射光谱系统</w:t>
      </w:r>
    </w:p>
    <w:p w14:paraId="0450EC69">
      <w:pPr>
        <w:pStyle w:val="9"/>
        <w:snapToGrid w:val="0"/>
        <w:spacing w:before="156" w:after="156" w:line="360" w:lineRule="auto"/>
        <w:ind w:firstLine="0"/>
        <w:jc w:val="center"/>
        <w:rPr>
          <w:rFonts w:hint="default" w:ascii="Times New Roman" w:hAnsi="Times New Roman" w:eastAsia="宋体"/>
          <w:b/>
          <w:sz w:val="32"/>
          <w:szCs w:val="32"/>
          <w:highlight w:val="yellow"/>
          <w:lang w:val="en-US" w:eastAsia="zh-CN"/>
        </w:rPr>
      </w:pPr>
      <w:r>
        <w:rPr>
          <w:rFonts w:hint="eastAsia" w:ascii="Times New Roman" w:hAnsi="Times New Roman"/>
          <w:b/>
          <w:sz w:val="32"/>
          <w:szCs w:val="32"/>
        </w:rPr>
        <w:t>项目编号：</w:t>
      </w:r>
      <w:r>
        <w:rPr>
          <w:rFonts w:hint="eastAsia" w:ascii="Times New Roman" w:hAnsi="Times New Roman"/>
          <w:b/>
          <w:sz w:val="32"/>
          <w:szCs w:val="32"/>
          <w:highlight w:val="yellow"/>
        </w:rPr>
        <w:t>ZDWYY-XJ-202</w:t>
      </w:r>
      <w:r>
        <w:rPr>
          <w:rFonts w:hint="eastAsia" w:ascii="Times New Roman" w:hAnsi="Times New Roman"/>
          <w:b/>
          <w:sz w:val="32"/>
          <w:szCs w:val="32"/>
          <w:highlight w:val="yellow"/>
          <w:lang w:val="en-US" w:eastAsia="zh-CN"/>
        </w:rPr>
        <w:t>5</w:t>
      </w:r>
      <w:r>
        <w:rPr>
          <w:rFonts w:hint="eastAsia" w:ascii="Times New Roman" w:hAnsi="Times New Roman"/>
          <w:b/>
          <w:sz w:val="32"/>
          <w:szCs w:val="32"/>
          <w:highlight w:val="yellow"/>
        </w:rPr>
        <w:t>0</w:t>
      </w:r>
      <w:r>
        <w:rPr>
          <w:rFonts w:hint="eastAsia" w:ascii="Times New Roman" w:hAnsi="Times New Roman"/>
          <w:b/>
          <w:sz w:val="32"/>
          <w:szCs w:val="32"/>
          <w:highlight w:val="yellow"/>
          <w:lang w:val="en-US" w:eastAsia="zh-CN"/>
        </w:rPr>
        <w:t>19</w:t>
      </w:r>
    </w:p>
    <w:p w14:paraId="2F8A32AA">
      <w:pPr>
        <w:pStyle w:val="9"/>
        <w:snapToGrid w:val="0"/>
        <w:spacing w:before="156" w:after="156" w:line="360" w:lineRule="auto"/>
        <w:ind w:firstLine="841" w:firstLineChars="294"/>
        <w:rPr>
          <w:rFonts w:ascii="Times New Roman" w:hAnsi="Times New Roman"/>
          <w:b/>
          <w:bCs/>
          <w:w w:val="95"/>
          <w:sz w:val="30"/>
          <w:szCs w:val="30"/>
        </w:rPr>
      </w:pPr>
    </w:p>
    <w:p w14:paraId="63C67846">
      <w:pPr>
        <w:pStyle w:val="9"/>
        <w:snapToGrid w:val="0"/>
        <w:spacing w:before="156" w:after="156" w:line="360" w:lineRule="auto"/>
        <w:ind w:firstLine="841" w:firstLineChars="294"/>
        <w:rPr>
          <w:rFonts w:ascii="Times New Roman" w:hAnsi="Times New Roman"/>
          <w:b/>
          <w:bCs/>
          <w:w w:val="95"/>
          <w:sz w:val="30"/>
          <w:szCs w:val="30"/>
        </w:rPr>
      </w:pPr>
    </w:p>
    <w:p w14:paraId="5001116F">
      <w:pPr>
        <w:pStyle w:val="9"/>
        <w:snapToGrid w:val="0"/>
        <w:spacing w:before="156" w:after="156" w:line="360" w:lineRule="auto"/>
        <w:ind w:firstLine="841" w:firstLineChars="294"/>
        <w:rPr>
          <w:rFonts w:ascii="Times New Roman" w:hAnsi="Times New Roman"/>
          <w:b/>
          <w:bCs/>
          <w:w w:val="95"/>
          <w:sz w:val="30"/>
          <w:szCs w:val="30"/>
        </w:rPr>
      </w:pPr>
    </w:p>
    <w:p w14:paraId="5406C0C4">
      <w:pPr>
        <w:pStyle w:val="9"/>
        <w:snapToGrid w:val="0"/>
        <w:spacing w:before="156" w:after="156" w:line="360" w:lineRule="auto"/>
        <w:ind w:firstLine="841" w:firstLineChars="294"/>
        <w:rPr>
          <w:rFonts w:ascii="Times New Roman" w:hAnsi="Times New Roman"/>
          <w:b/>
          <w:bCs/>
          <w:w w:val="95"/>
          <w:sz w:val="30"/>
          <w:szCs w:val="30"/>
        </w:rPr>
      </w:pPr>
    </w:p>
    <w:p w14:paraId="221DF932">
      <w:pPr>
        <w:pStyle w:val="9"/>
        <w:snapToGrid w:val="0"/>
        <w:spacing w:before="156" w:after="156" w:line="360" w:lineRule="auto"/>
        <w:ind w:firstLine="841" w:firstLineChars="294"/>
        <w:rPr>
          <w:rFonts w:ascii="Times New Roman" w:hAnsi="Times New Roman"/>
          <w:b/>
          <w:bCs/>
          <w:w w:val="95"/>
          <w:sz w:val="30"/>
          <w:szCs w:val="30"/>
        </w:rPr>
      </w:pPr>
    </w:p>
    <w:p w14:paraId="72EDAC68">
      <w:pPr>
        <w:pStyle w:val="9"/>
        <w:snapToGrid w:val="0"/>
        <w:spacing w:before="156" w:after="156" w:line="360" w:lineRule="auto"/>
        <w:ind w:firstLine="841" w:firstLineChars="294"/>
        <w:rPr>
          <w:rFonts w:ascii="Times New Roman" w:hAnsi="Times New Roman"/>
          <w:b/>
          <w:bCs/>
          <w:w w:val="95"/>
          <w:sz w:val="30"/>
          <w:szCs w:val="30"/>
        </w:rPr>
      </w:pPr>
    </w:p>
    <w:p w14:paraId="22FC094B">
      <w:pPr>
        <w:pStyle w:val="9"/>
        <w:snapToGrid w:val="0"/>
        <w:spacing w:before="156" w:after="156" w:line="360" w:lineRule="auto"/>
        <w:ind w:firstLine="841" w:firstLineChars="294"/>
        <w:rPr>
          <w:rFonts w:ascii="Times New Roman" w:hAnsi="Times New Roman"/>
          <w:b/>
          <w:bCs/>
          <w:w w:val="95"/>
          <w:sz w:val="30"/>
          <w:szCs w:val="30"/>
        </w:rPr>
      </w:pPr>
    </w:p>
    <w:p w14:paraId="39FD514C">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46249C49">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yellow"/>
        </w:rPr>
        <w:t>2025年</w:t>
      </w:r>
      <w:r>
        <w:rPr>
          <w:rFonts w:hint="eastAsia"/>
          <w:b/>
          <w:bCs/>
          <w:w w:val="95"/>
          <w:sz w:val="32"/>
          <w:szCs w:val="32"/>
          <w:highlight w:val="yellow"/>
          <w:lang w:val="en-US" w:eastAsia="zh-CN"/>
        </w:rPr>
        <w:t>6</w:t>
      </w:r>
      <w:r>
        <w:rPr>
          <w:rFonts w:hint="eastAsia"/>
          <w:b/>
          <w:bCs/>
          <w:w w:val="95"/>
          <w:sz w:val="32"/>
          <w:szCs w:val="32"/>
          <w:highlight w:val="yellow"/>
        </w:rPr>
        <w:t>月</w:t>
      </w:r>
    </w:p>
    <w:p w14:paraId="058C87E5">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B461AD4">
      <w:pPr>
        <w:numPr>
          <w:ilvl w:val="0"/>
          <w:numId w:val="1"/>
        </w:numPr>
        <w:ind w:firstLine="0"/>
        <w:rPr>
          <w:b/>
          <w:bCs/>
          <w:szCs w:val="21"/>
        </w:rPr>
      </w:pPr>
      <w:r>
        <w:rPr>
          <w:rFonts w:hint="eastAsia"/>
          <w:b/>
          <w:bCs/>
          <w:szCs w:val="21"/>
        </w:rPr>
        <w:t>采购物资：</w:t>
      </w:r>
      <w:r>
        <w:rPr>
          <w:rFonts w:hint="eastAsia"/>
        </w:rPr>
        <w:t>投射光谱系统</w:t>
      </w:r>
      <w:r>
        <w:rPr>
          <w:rFonts w:hint="eastAsia"/>
          <w:b/>
          <w:bCs/>
          <w:szCs w:val="21"/>
        </w:rPr>
        <w:t>；采购数量：</w:t>
      </w:r>
      <w:r>
        <w:rPr>
          <w:rFonts w:hint="eastAsia"/>
          <w:b/>
          <w:bCs/>
          <w:szCs w:val="21"/>
          <w:highlight w:val="yellow"/>
        </w:rPr>
        <w:t>1套</w:t>
      </w:r>
      <w:r>
        <w:rPr>
          <w:rFonts w:hint="eastAsia"/>
          <w:b/>
          <w:bCs/>
          <w:szCs w:val="21"/>
        </w:rPr>
        <w:t>；总预算：</w:t>
      </w:r>
      <w:r>
        <w:rPr>
          <w:rFonts w:hint="eastAsia"/>
          <w:b/>
          <w:bCs/>
          <w:szCs w:val="21"/>
          <w:highlight w:val="yellow"/>
        </w:rPr>
        <w:t>160000元</w:t>
      </w:r>
      <w:r>
        <w:rPr>
          <w:rFonts w:hint="eastAsia"/>
          <w:b/>
          <w:bCs/>
          <w:szCs w:val="21"/>
        </w:rPr>
        <w:t>。</w:t>
      </w:r>
    </w:p>
    <w:p w14:paraId="4B803186">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项目组老师省老师，联系方式</w:t>
      </w:r>
      <w:r>
        <w:rPr>
          <w:rFonts w:hint="eastAsia"/>
          <w:b/>
          <w:bCs/>
          <w:szCs w:val="21"/>
        </w:rPr>
        <w:t>16638965160）</w:t>
      </w:r>
    </w:p>
    <w:tbl>
      <w:tblPr>
        <w:tblStyle w:val="12"/>
        <w:tblW w:w="10977" w:type="dxa"/>
        <w:tblInd w:w="-1198" w:type="dxa"/>
        <w:tblLayout w:type="fixed"/>
        <w:tblCellMar>
          <w:top w:w="0" w:type="dxa"/>
          <w:left w:w="108" w:type="dxa"/>
          <w:bottom w:w="0" w:type="dxa"/>
          <w:right w:w="108" w:type="dxa"/>
        </w:tblCellMar>
      </w:tblPr>
      <w:tblGrid>
        <w:gridCol w:w="465"/>
        <w:gridCol w:w="1036"/>
        <w:gridCol w:w="3853"/>
        <w:gridCol w:w="610"/>
        <w:gridCol w:w="580"/>
        <w:gridCol w:w="1010"/>
        <w:gridCol w:w="1140"/>
        <w:gridCol w:w="1633"/>
        <w:gridCol w:w="650"/>
      </w:tblGrid>
      <w:tr w14:paraId="5A8178D0">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FF8BAEC">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vAlign w:val="center"/>
          </w:tcPr>
          <w:p w14:paraId="5427B00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3853" w:type="dxa"/>
            <w:tcBorders>
              <w:top w:val="single" w:color="000000" w:sz="4" w:space="0"/>
              <w:left w:val="single" w:color="000000" w:sz="4" w:space="0"/>
              <w:bottom w:val="single" w:color="000000" w:sz="4" w:space="0"/>
              <w:right w:val="single" w:color="000000" w:sz="4" w:space="0"/>
            </w:tcBorders>
            <w:noWrap/>
            <w:vAlign w:val="center"/>
          </w:tcPr>
          <w:p w14:paraId="1198AA2D">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610" w:type="dxa"/>
            <w:tcBorders>
              <w:top w:val="single" w:color="000000" w:sz="4" w:space="0"/>
              <w:left w:val="single" w:color="000000" w:sz="4" w:space="0"/>
              <w:bottom w:val="single" w:color="000000" w:sz="4" w:space="0"/>
              <w:right w:val="single" w:color="000000" w:sz="4" w:space="0"/>
            </w:tcBorders>
            <w:noWrap/>
            <w:vAlign w:val="center"/>
          </w:tcPr>
          <w:p w14:paraId="28C54B9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3F12E5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68B23E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40" w:type="dxa"/>
            <w:tcBorders>
              <w:top w:val="single" w:color="000000" w:sz="4" w:space="0"/>
              <w:left w:val="single" w:color="000000" w:sz="4" w:space="0"/>
              <w:bottom w:val="single" w:color="000000" w:sz="4" w:space="0"/>
              <w:right w:val="single" w:color="auto" w:sz="4" w:space="0"/>
            </w:tcBorders>
            <w:noWrap/>
            <w:vAlign w:val="center"/>
          </w:tcPr>
          <w:p w14:paraId="62EC66F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1633" w:type="dxa"/>
            <w:tcBorders>
              <w:top w:val="single" w:color="auto" w:sz="4" w:space="0"/>
              <w:left w:val="single" w:color="auto" w:sz="4" w:space="0"/>
              <w:bottom w:val="single" w:color="auto" w:sz="4" w:space="0"/>
              <w:right w:val="single" w:color="auto" w:sz="4" w:space="0"/>
            </w:tcBorders>
            <w:noWrap/>
            <w:vAlign w:val="center"/>
          </w:tcPr>
          <w:p w14:paraId="223832E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6106BCA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F33E866">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3404AB57">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036" w:type="dxa"/>
            <w:tcBorders>
              <w:top w:val="single" w:color="000000" w:sz="4" w:space="0"/>
              <w:left w:val="single" w:color="000000" w:sz="4" w:space="0"/>
              <w:bottom w:val="single" w:color="000000" w:sz="4" w:space="0"/>
              <w:right w:val="single" w:color="000000" w:sz="4" w:space="0"/>
            </w:tcBorders>
            <w:vAlign w:val="center"/>
          </w:tcPr>
          <w:p w14:paraId="322DF209">
            <w:pPr>
              <w:widowControl/>
              <w:spacing w:line="240" w:lineRule="auto"/>
              <w:ind w:firstLine="0"/>
              <w:textAlignment w:val="center"/>
              <w:rPr>
                <w:rFonts w:hint="eastAsia" w:ascii="宋体" w:hAnsi="宋体" w:cs="宋体"/>
                <w:color w:val="000000"/>
                <w:sz w:val="18"/>
                <w:szCs w:val="18"/>
              </w:rPr>
            </w:pPr>
            <w:r>
              <w:rPr>
                <w:rFonts w:hint="eastAsia"/>
              </w:rPr>
              <w:t>投射光谱系统</w:t>
            </w:r>
          </w:p>
        </w:tc>
        <w:tc>
          <w:tcPr>
            <w:tcW w:w="3853" w:type="dxa"/>
            <w:tcBorders>
              <w:top w:val="single" w:color="000000" w:sz="4" w:space="0"/>
              <w:left w:val="single" w:color="000000" w:sz="4" w:space="0"/>
              <w:bottom w:val="single" w:color="000000" w:sz="4" w:space="0"/>
              <w:right w:val="single" w:color="000000" w:sz="4" w:space="0"/>
            </w:tcBorders>
            <w:vAlign w:val="center"/>
          </w:tcPr>
          <w:p w14:paraId="27AB1D69">
            <w:pPr>
              <w:keepNext w:val="0"/>
              <w:keepLines w:val="0"/>
              <w:pageBreakBefore w:val="0"/>
              <w:widowControl/>
              <w:kinsoku/>
              <w:wordWrap/>
              <w:overflowPunct/>
              <w:topLinePunct w:val="0"/>
              <w:autoSpaceDE/>
              <w:autoSpaceDN/>
              <w:bidi w:val="0"/>
              <w:adjustRightInd/>
              <w:snapToGrid/>
              <w:spacing w:line="300" w:lineRule="exact"/>
              <w:ind w:firstLine="0"/>
              <w:jc w:val="left"/>
              <w:textAlignment w:val="center"/>
              <w:rPr>
                <w:rFonts w:hint="eastAsia"/>
              </w:rPr>
            </w:pPr>
            <w:r>
              <w:rPr>
                <w:rFonts w:hint="eastAsia"/>
              </w:rPr>
              <w:t>复享NIR25S,Y型号光纤，R2透射支架</w:t>
            </w:r>
          </w:p>
          <w:p w14:paraId="2860F261">
            <w:pPr>
              <w:keepNext w:val="0"/>
              <w:keepLines w:val="0"/>
              <w:pageBreakBefore w:val="0"/>
              <w:kinsoku/>
              <w:wordWrap/>
              <w:overflowPunct/>
              <w:topLinePunct w:val="0"/>
              <w:autoSpaceDE/>
              <w:autoSpaceDN/>
              <w:bidi w:val="0"/>
              <w:adjustRightInd/>
              <w:snapToGrid/>
              <w:spacing w:line="300" w:lineRule="exact"/>
              <w:ind w:firstLine="0"/>
              <w:rPr>
                <w:rFonts w:hint="eastAsia" w:eastAsia="宋体"/>
                <w:b/>
                <w:bCs/>
                <w:w w:val="95"/>
                <w:lang w:eastAsia="zh-CN"/>
              </w:rPr>
            </w:pPr>
            <w:r>
              <w:rPr>
                <w:b/>
                <w:bCs/>
                <w:w w:val="95"/>
              </w:rPr>
              <w:t>NIR25S</w:t>
            </w:r>
            <w:r>
              <w:rPr>
                <w:rFonts w:hint="eastAsia"/>
                <w:b/>
                <w:bCs/>
                <w:w w:val="95"/>
                <w:lang w:eastAsia="zh-CN"/>
              </w:rPr>
              <w:t>：</w:t>
            </w:r>
          </w:p>
          <w:p w14:paraId="157BF6CC">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1.用于测量激光器和LED光源的波长分布，测量范围涵盖：（900～2500）nm。</w:t>
            </w:r>
          </w:p>
          <w:p w14:paraId="4F03D6DB">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2.探测器：Hamamatsu，不低于像素256 pixels。</w:t>
            </w:r>
          </w:p>
          <w:p w14:paraId="11A5CB65">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3.狭缝宽度：25微米</w:t>
            </w:r>
          </w:p>
          <w:p w14:paraId="597B9483">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4.最优波长分辨率： 不大于12nm。</w:t>
            </w:r>
          </w:p>
          <w:p w14:paraId="640685C2">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5.信噪比：不低于7000：1。</w:t>
            </w:r>
          </w:p>
          <w:p w14:paraId="4F173572">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6.动态范围：不低于10000：1</w:t>
            </w:r>
          </w:p>
          <w:p w14:paraId="5956BE3D">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7.制冷芯片：二级芯片内 TEC 制冷</w:t>
            </w:r>
          </w:p>
          <w:p w14:paraId="5B24EB06">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 xml:space="preserve">8.电脑及软件：用于存储和显示测量结果，可显示波长分布图。   </w:t>
            </w:r>
          </w:p>
          <w:p w14:paraId="00EC3DFC">
            <w:pPr>
              <w:keepNext w:val="0"/>
              <w:keepLines w:val="0"/>
              <w:pageBreakBefore w:val="0"/>
              <w:kinsoku/>
              <w:wordWrap/>
              <w:overflowPunct/>
              <w:topLinePunct w:val="0"/>
              <w:autoSpaceDE/>
              <w:autoSpaceDN/>
              <w:bidi w:val="0"/>
              <w:adjustRightInd/>
              <w:snapToGrid/>
              <w:spacing w:line="300" w:lineRule="exact"/>
              <w:ind w:firstLine="0"/>
              <w:rPr>
                <w:w w:val="95"/>
              </w:rPr>
            </w:pPr>
            <w:r>
              <w:rPr>
                <w:rFonts w:hint="eastAsia"/>
                <w:w w:val="95"/>
              </w:rPr>
              <w:t>9.支持和实验室可见光谱仪在同一软件界面测试。</w:t>
            </w:r>
          </w:p>
          <w:p w14:paraId="4C184582">
            <w:pPr>
              <w:keepNext w:val="0"/>
              <w:keepLines w:val="0"/>
              <w:pageBreakBefore w:val="0"/>
              <w:kinsoku/>
              <w:wordWrap/>
              <w:overflowPunct/>
              <w:topLinePunct w:val="0"/>
              <w:autoSpaceDE/>
              <w:autoSpaceDN/>
              <w:bidi w:val="0"/>
              <w:adjustRightInd/>
              <w:snapToGrid/>
              <w:spacing w:line="300" w:lineRule="exact"/>
              <w:ind w:firstLine="0"/>
              <w:rPr>
                <w:b/>
                <w:bCs/>
                <w:w w:val="95"/>
              </w:rPr>
            </w:pPr>
            <w:r>
              <w:rPr>
                <w:b/>
                <w:bCs/>
                <w:w w:val="95"/>
              </w:rPr>
              <w:t>光纤：</w:t>
            </w:r>
          </w:p>
          <w:p w14:paraId="073CF369">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1.</w:t>
            </w:r>
            <w:r>
              <w:rPr>
                <w:w w:val="95"/>
              </w:rPr>
              <w:tab/>
            </w:r>
            <w:r>
              <w:rPr>
                <w:w w:val="95"/>
              </w:rPr>
              <w:t>芯种：2芯光纤</w:t>
            </w:r>
          </w:p>
          <w:p w14:paraId="173777ED">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2.</w:t>
            </w:r>
            <w:r>
              <w:rPr>
                <w:w w:val="95"/>
              </w:rPr>
              <w:tab/>
            </w:r>
            <w:r>
              <w:rPr>
                <w:w w:val="95"/>
              </w:rPr>
              <w:t>芯径：600um</w:t>
            </w:r>
          </w:p>
          <w:p w14:paraId="5396120D">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3.</w:t>
            </w:r>
            <w:r>
              <w:rPr>
                <w:w w:val="95"/>
              </w:rPr>
              <w:tab/>
            </w:r>
            <w:r>
              <w:rPr>
                <w:w w:val="95"/>
              </w:rPr>
              <w:t>长度：2米</w:t>
            </w:r>
          </w:p>
          <w:p w14:paraId="36F335EC">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4.</w:t>
            </w:r>
            <w:r>
              <w:rPr>
                <w:w w:val="95"/>
              </w:rPr>
              <w:tab/>
            </w:r>
            <w:r>
              <w:rPr>
                <w:w w:val="95"/>
              </w:rPr>
              <w:t>接口SMA905</w:t>
            </w:r>
          </w:p>
          <w:p w14:paraId="62B5BE16">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5.</w:t>
            </w:r>
            <w:r>
              <w:rPr>
                <w:w w:val="95"/>
              </w:rPr>
              <w:tab/>
            </w:r>
            <w:r>
              <w:rPr>
                <w:w w:val="95"/>
              </w:rPr>
              <w:t>波段：一端支持200-1100nm，另外一端：360-2500nm</w:t>
            </w:r>
          </w:p>
          <w:p w14:paraId="3047B46E">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6.</w:t>
            </w:r>
            <w:r>
              <w:rPr>
                <w:w w:val="95"/>
              </w:rPr>
              <w:tab/>
            </w:r>
            <w:r>
              <w:rPr>
                <w:w w:val="95"/>
              </w:rPr>
              <w:t>蓝色PVC薄层，金属接口</w:t>
            </w:r>
          </w:p>
          <w:p w14:paraId="4C7F1B7E">
            <w:pPr>
              <w:keepNext w:val="0"/>
              <w:keepLines w:val="0"/>
              <w:pageBreakBefore w:val="0"/>
              <w:kinsoku/>
              <w:wordWrap/>
              <w:overflowPunct/>
              <w:topLinePunct w:val="0"/>
              <w:autoSpaceDE/>
              <w:autoSpaceDN/>
              <w:bidi w:val="0"/>
              <w:adjustRightInd/>
              <w:snapToGrid/>
              <w:spacing w:line="300" w:lineRule="exact"/>
              <w:ind w:firstLine="0"/>
              <w:rPr>
                <w:b/>
                <w:bCs/>
                <w:w w:val="95"/>
              </w:rPr>
            </w:pPr>
            <w:r>
              <w:rPr>
                <w:b/>
                <w:bCs/>
                <w:w w:val="95"/>
              </w:rPr>
              <w:t>透射支架：</w:t>
            </w:r>
          </w:p>
          <w:p w14:paraId="47D8214C">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1.</w:t>
            </w:r>
            <w:r>
              <w:rPr>
                <w:w w:val="95"/>
              </w:rPr>
              <w:tab/>
            </w:r>
            <w:r>
              <w:rPr>
                <w:w w:val="95"/>
              </w:rPr>
              <w:t>支持SMA905接口</w:t>
            </w:r>
          </w:p>
          <w:p w14:paraId="574CC078">
            <w:pPr>
              <w:keepNext w:val="0"/>
              <w:keepLines w:val="0"/>
              <w:pageBreakBefore w:val="0"/>
              <w:kinsoku/>
              <w:wordWrap/>
              <w:overflowPunct/>
              <w:topLinePunct w:val="0"/>
              <w:autoSpaceDE/>
              <w:autoSpaceDN/>
              <w:bidi w:val="0"/>
              <w:adjustRightInd/>
              <w:snapToGrid/>
              <w:spacing w:line="300" w:lineRule="exact"/>
              <w:ind w:firstLine="0"/>
              <w:rPr>
                <w:w w:val="95"/>
              </w:rPr>
            </w:pPr>
            <w:r>
              <w:rPr>
                <w:w w:val="95"/>
              </w:rPr>
              <w:t>2.</w:t>
            </w:r>
            <w:r>
              <w:rPr>
                <w:w w:val="95"/>
              </w:rPr>
              <w:tab/>
            </w:r>
            <w:r>
              <w:rPr>
                <w:w w:val="95"/>
              </w:rPr>
              <w:t>滑块可调具体</w:t>
            </w:r>
          </w:p>
          <w:p w14:paraId="3D263009">
            <w:pPr>
              <w:keepNext w:val="0"/>
              <w:keepLines w:val="0"/>
              <w:pageBreakBefore w:val="0"/>
              <w:kinsoku/>
              <w:wordWrap/>
              <w:overflowPunct/>
              <w:topLinePunct w:val="0"/>
              <w:autoSpaceDE/>
              <w:autoSpaceDN/>
              <w:bidi w:val="0"/>
              <w:adjustRightInd/>
              <w:snapToGrid/>
              <w:spacing w:line="300" w:lineRule="exact"/>
              <w:ind w:firstLine="0"/>
              <w:rPr>
                <w:rFonts w:hint="eastAsia"/>
              </w:rPr>
            </w:pPr>
            <w:r>
              <w:rPr>
                <w:w w:val="95"/>
              </w:rPr>
              <w:t>3.</w:t>
            </w:r>
            <w:r>
              <w:rPr>
                <w:w w:val="95"/>
              </w:rPr>
              <w:tab/>
            </w:r>
            <w:r>
              <w:rPr>
                <w:w w:val="95"/>
              </w:rPr>
              <w:t>支持夹至少1cm厚度的平面样品</w:t>
            </w:r>
          </w:p>
        </w:tc>
        <w:tc>
          <w:tcPr>
            <w:tcW w:w="610" w:type="dxa"/>
            <w:tcBorders>
              <w:top w:val="single" w:color="000000" w:sz="4" w:space="0"/>
              <w:left w:val="single" w:color="000000" w:sz="4" w:space="0"/>
              <w:bottom w:val="single" w:color="000000" w:sz="4" w:space="0"/>
              <w:right w:val="single" w:color="000000" w:sz="4" w:space="0"/>
            </w:tcBorders>
            <w:noWrap/>
            <w:vAlign w:val="center"/>
          </w:tcPr>
          <w:p w14:paraId="6A940C53">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4CA9BB6C">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687EDF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160000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C0B408">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160000</w:t>
            </w:r>
          </w:p>
        </w:tc>
        <w:tc>
          <w:tcPr>
            <w:tcW w:w="1633" w:type="dxa"/>
            <w:tcBorders>
              <w:top w:val="single" w:color="auto" w:sz="4" w:space="0"/>
              <w:left w:val="single" w:color="000000" w:sz="4" w:space="0"/>
              <w:bottom w:val="single" w:color="auto" w:sz="4" w:space="0"/>
              <w:right w:val="single" w:color="000000" w:sz="4" w:space="0"/>
            </w:tcBorders>
            <w:noWrap/>
            <w:vAlign w:val="center"/>
          </w:tcPr>
          <w:p w14:paraId="46C7838D">
            <w:pPr>
              <w:spacing w:line="240" w:lineRule="auto"/>
              <w:jc w:val="center"/>
              <w:rPr>
                <w:rFonts w:hint="eastAsia" w:ascii="宋体" w:hAnsi="宋体" w:cs="宋体"/>
                <w:b/>
                <w:bCs/>
                <w:color w:val="000000"/>
                <w:sz w:val="18"/>
                <w:szCs w:val="18"/>
              </w:rPr>
            </w:pPr>
          </w:p>
        </w:tc>
        <w:tc>
          <w:tcPr>
            <w:tcW w:w="650" w:type="dxa"/>
            <w:tcBorders>
              <w:top w:val="single" w:color="auto" w:sz="4" w:space="0"/>
              <w:left w:val="single" w:color="000000" w:sz="4" w:space="0"/>
              <w:bottom w:val="single" w:color="auto" w:sz="4" w:space="0"/>
              <w:right w:val="single" w:color="000000" w:sz="4" w:space="0"/>
            </w:tcBorders>
            <w:noWrap/>
            <w:vAlign w:val="center"/>
          </w:tcPr>
          <w:p w14:paraId="6F0EA098">
            <w:pPr>
              <w:widowControl/>
              <w:spacing w:line="240" w:lineRule="auto"/>
              <w:ind w:firstLine="0"/>
              <w:jc w:val="left"/>
              <w:textAlignment w:val="center"/>
              <w:rPr>
                <w:rFonts w:hint="default" w:ascii="宋体" w:hAnsi="宋体" w:eastAsia="宋体" w:cs="宋体"/>
                <w:b/>
                <w:bCs/>
                <w:color w:val="000000"/>
                <w:sz w:val="18"/>
                <w:szCs w:val="18"/>
                <w:lang w:val="en-US" w:eastAsia="zh-CN"/>
              </w:rPr>
            </w:pPr>
          </w:p>
        </w:tc>
      </w:tr>
    </w:tbl>
    <w:p w14:paraId="25674A3A">
      <w:pPr>
        <w:ind w:firstLine="0"/>
        <w:rPr>
          <w:b/>
          <w:bCs/>
          <w:szCs w:val="21"/>
        </w:rPr>
      </w:pPr>
    </w:p>
    <w:p w14:paraId="06975D41">
      <w:pPr>
        <w:ind w:firstLine="0"/>
        <w:rPr>
          <w:b/>
          <w:bCs/>
          <w:szCs w:val="21"/>
        </w:rPr>
      </w:pPr>
    </w:p>
    <w:p w14:paraId="77E13358">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57BA1AB">
      <w:pPr>
        <w:numPr>
          <w:ilvl w:val="0"/>
          <w:numId w:val="2"/>
        </w:numPr>
        <w:rPr>
          <w:rFonts w:hint="eastAsia"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2F5E9C6">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rPr>
        <w:t>1年的免费产品质保</w:t>
      </w:r>
      <w:r>
        <w:rPr>
          <w:rFonts w:hint="eastAsia" w:ascii="宋体" w:hAnsi="宋体" w:cs="宋体"/>
          <w:szCs w:val="21"/>
        </w:rPr>
        <w:t>。</w:t>
      </w:r>
    </w:p>
    <w:p w14:paraId="6F1623CC">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供货商接到发货通知后，15个工作日内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3F684544">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highlight w:val="yellow"/>
        </w:rPr>
        <w:t>期应重新计算</w:t>
      </w:r>
      <w:r>
        <w:rPr>
          <w:rFonts w:hint="eastAsia" w:ascii="宋体" w:hAnsi="宋体"/>
        </w:rPr>
        <w:t>。</w:t>
      </w:r>
    </w:p>
    <w:p w14:paraId="1E361ACC">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1CAEB677">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b/>
          <w:bCs/>
          <w:szCs w:val="21"/>
          <w:highlight w:val="yellow"/>
        </w:rPr>
        <w:t>省</w:t>
      </w:r>
      <w:r>
        <w:rPr>
          <w:rFonts w:hint="eastAsia"/>
          <w:b/>
          <w:bCs/>
          <w:szCs w:val="21"/>
          <w:highlight w:val="yellow"/>
          <w:lang w:val="en-US" w:eastAsia="zh-CN"/>
        </w:rPr>
        <w:t>聪聪</w:t>
      </w:r>
      <w:r>
        <w:rPr>
          <w:rFonts w:hint="eastAsia"/>
          <w:b/>
          <w:bCs/>
          <w:szCs w:val="21"/>
          <w:highlight w:val="yellow"/>
        </w:rPr>
        <w:t>，16638965160</w:t>
      </w:r>
    </w:p>
    <w:p w14:paraId="759AA91A">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49563B49">
      <w:pPr>
        <w:numPr>
          <w:ilvl w:val="0"/>
          <w:numId w:val="3"/>
        </w:numPr>
        <w:tabs>
          <w:tab w:val="left" w:pos="312"/>
        </w:tabs>
        <w:rPr>
          <w:b/>
        </w:rPr>
      </w:pPr>
      <w:r>
        <w:rPr>
          <w:rFonts w:hint="eastAsia" w:ascii="宋体" w:hAnsi="宋体"/>
          <w:b/>
        </w:rPr>
        <w:t>所有报价供应商均为认同并遵守本在线询价中的所有要求。</w:t>
      </w:r>
    </w:p>
    <w:p w14:paraId="0C2D4EA4">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412EAB5E">
      <w:pPr>
        <w:numPr>
          <w:ilvl w:val="0"/>
          <w:numId w:val="3"/>
        </w:numPr>
        <w:tabs>
          <w:tab w:val="left" w:pos="312"/>
        </w:tabs>
        <w:rPr>
          <w:b/>
        </w:rPr>
      </w:pPr>
      <w:r>
        <w:rPr>
          <w:rFonts w:hint="eastAsia" w:ascii="宋体" w:hAnsi="宋体"/>
          <w:b/>
        </w:rPr>
        <w:t>针对上述要求，报价单位必须认真审核本在线询价采购文件中的所有要求。</w:t>
      </w:r>
    </w:p>
    <w:p w14:paraId="3670FB0F">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bookmarkStart w:id="3" w:name="_GoBack"/>
      <w:bookmarkEnd w:id="3"/>
      <w:r>
        <w:rPr>
          <w:rFonts w:hint="eastAsia" w:ascii="宋体" w:hAnsi="宋体"/>
          <w:b/>
        </w:rPr>
        <w:t>）文件发送至邮箱zdwzyjy2023@163.com，未按要求提交的供应商，采购人可按无效响应处理。</w:t>
      </w:r>
    </w:p>
    <w:p w14:paraId="228FDD7E">
      <w:pPr>
        <w:tabs>
          <w:tab w:val="left" w:pos="-200"/>
          <w:tab w:val="left" w:pos="0"/>
        </w:tabs>
        <w:spacing w:line="240" w:lineRule="auto"/>
        <w:rPr>
          <w:rFonts w:hint="eastAsia" w:ascii="宋体" w:hAnsi="宋体"/>
          <w:b/>
        </w:rPr>
      </w:pPr>
    </w:p>
    <w:p w14:paraId="2B05CBB5">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784D">
    <w:pPr>
      <w:pStyle w:val="10"/>
      <w:jc w:val="center"/>
    </w:pPr>
  </w:p>
  <w:p w14:paraId="6BADFD4F">
    <w:pPr>
      <w:pStyle w:val="10"/>
    </w:pPr>
  </w:p>
  <w:p w14:paraId="0CDBA9A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AF2C">
    <w:pPr>
      <w:pStyle w:val="10"/>
      <w:jc w:val="right"/>
    </w:pPr>
  </w:p>
  <w:p w14:paraId="4A5D3141">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C583">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0931">
    <w:pPr>
      <w:pStyle w:val="10"/>
      <w:jc w:val="right"/>
    </w:pPr>
  </w:p>
  <w:p w14:paraId="76D4A072">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7636">
    <w:pPr>
      <w:pStyle w:val="11"/>
      <w:pBdr>
        <w:bottom w:val="none" w:color="auto" w:sz="0" w:space="1"/>
      </w:pBdr>
    </w:pPr>
  </w:p>
  <w:p w14:paraId="00F5CFC3">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AA75">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DDE6C0">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7EDDE6C0">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66B5">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A07304">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FA07304">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6C9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05393"/>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1FD2"/>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A4D98"/>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74D65"/>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B5C5453"/>
    <w:rsid w:val="0C22425C"/>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466A8"/>
    <w:rsid w:val="21075521"/>
    <w:rsid w:val="21E0729C"/>
    <w:rsid w:val="239F1DE7"/>
    <w:rsid w:val="23BA6392"/>
    <w:rsid w:val="24461B1F"/>
    <w:rsid w:val="2479653E"/>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C4F75FE"/>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7F5689C"/>
    <w:rsid w:val="48582252"/>
    <w:rsid w:val="48686A79"/>
    <w:rsid w:val="490C5FBD"/>
    <w:rsid w:val="4A32299A"/>
    <w:rsid w:val="4C6B3B21"/>
    <w:rsid w:val="4D5B371F"/>
    <w:rsid w:val="4D6B4F60"/>
    <w:rsid w:val="4D852C5F"/>
    <w:rsid w:val="4EA05C5B"/>
    <w:rsid w:val="4F187423"/>
    <w:rsid w:val="4F365532"/>
    <w:rsid w:val="4FCC1DAC"/>
    <w:rsid w:val="50A00D95"/>
    <w:rsid w:val="51652AEA"/>
    <w:rsid w:val="51B46785"/>
    <w:rsid w:val="525A7155"/>
    <w:rsid w:val="52C00EF4"/>
    <w:rsid w:val="5353276D"/>
    <w:rsid w:val="53840F34"/>
    <w:rsid w:val="53D5425E"/>
    <w:rsid w:val="54257DE3"/>
    <w:rsid w:val="5498297C"/>
    <w:rsid w:val="557939A9"/>
    <w:rsid w:val="56793775"/>
    <w:rsid w:val="569C025C"/>
    <w:rsid w:val="570A6829"/>
    <w:rsid w:val="571D2AA3"/>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8D423D1"/>
    <w:rsid w:val="69976A08"/>
    <w:rsid w:val="6B04059F"/>
    <w:rsid w:val="6B734732"/>
    <w:rsid w:val="6C155E31"/>
    <w:rsid w:val="6D8532DC"/>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1046</Words>
  <Characters>1226</Characters>
  <Lines>97</Lines>
  <Paragraphs>106</Paragraphs>
  <TotalTime>3</TotalTime>
  <ScaleCrop>false</ScaleCrop>
  <LinksUpToDate>false</LinksUpToDate>
  <CharactersWithSpaces>1244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2025-05-26T10:42:00Z</dcterms:created>
  <dc:creator>张才</dc:creator>
  <cp:lastModifiedBy>余佳晨</cp:lastModifiedBy>
  <dcterms:modified xsi:type="dcterms:W3CDTF">2025-06-03T07:39:45Z</dcterms:modified>
  <dc:title>60L型开水器主要参数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5215A21811FD4C93803B61793D08E4A6_13</vt:lpwstr>
  </property>
  <property fmtid="{D5CDD505-2E9C-101B-9397-08002B2CF9AE}" pid="4" name="KSOTemplateDocerSaveRecord">
    <vt:lpwstr>eyJoZGlkIjoiNWNjYTRlY2YxM2Q4Yzc0Njc5ODY4NzZlZjBhYmQzOTgiLCJ1c2VySWQiOiIyNTUxODAzNDkifQ==</vt:lpwstr>
  </property>
</Properties>
</file>