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42C98">
      <w:pPr>
        <w:jc w:val="center"/>
        <w:rPr>
          <w:b/>
          <w:sz w:val="68"/>
          <w:szCs w:val="68"/>
        </w:rPr>
      </w:pPr>
    </w:p>
    <w:p w14:paraId="7DBF77D1">
      <w:pPr>
        <w:jc w:val="center"/>
        <w:rPr>
          <w:rFonts w:hint="eastAsia" w:ascii="黑体" w:hAnsi="黑体" w:eastAsia="黑体"/>
          <w:b/>
          <w:sz w:val="64"/>
          <w:szCs w:val="64"/>
        </w:rPr>
      </w:pPr>
      <w:r>
        <w:rPr>
          <w:rFonts w:hint="eastAsia" w:ascii="黑体" w:hAnsi="黑体" w:eastAsia="黑体"/>
          <w:b/>
          <w:sz w:val="64"/>
          <w:szCs w:val="64"/>
        </w:rPr>
        <w:t>浙江大学温州研究院</w:t>
      </w:r>
    </w:p>
    <w:p w14:paraId="35647A66">
      <w:pPr>
        <w:jc w:val="center"/>
        <w:rPr>
          <w:rFonts w:hint="eastAsia" w:ascii="黑体" w:hAnsi="黑体" w:eastAsia="黑体"/>
          <w:b/>
          <w:sz w:val="64"/>
          <w:szCs w:val="64"/>
        </w:rPr>
      </w:pPr>
      <w:r>
        <w:rPr>
          <w:rFonts w:hint="eastAsia" w:ascii="黑体" w:hAnsi="黑体" w:eastAsia="黑体"/>
          <w:b/>
          <w:sz w:val="64"/>
          <w:szCs w:val="64"/>
        </w:rPr>
        <w:t>在线询价</w:t>
      </w:r>
      <w:r>
        <w:rPr>
          <w:rFonts w:ascii="黑体" w:hAnsi="黑体" w:eastAsia="黑体"/>
          <w:b/>
          <w:sz w:val="64"/>
          <w:szCs w:val="64"/>
        </w:rPr>
        <w:t>采购文件</w:t>
      </w:r>
    </w:p>
    <w:p w14:paraId="6AB85D10">
      <w:pPr>
        <w:jc w:val="center"/>
        <w:rPr>
          <w:b/>
          <w:sz w:val="72"/>
          <w:szCs w:val="72"/>
        </w:rPr>
      </w:pPr>
    </w:p>
    <w:p w14:paraId="3DD72FFD">
      <w:pPr>
        <w:jc w:val="center"/>
        <w:rPr>
          <w:b/>
          <w:sz w:val="72"/>
          <w:szCs w:val="72"/>
        </w:rPr>
      </w:pPr>
    </w:p>
    <w:p w14:paraId="7EDF73A2">
      <w:pPr>
        <w:pStyle w:val="9"/>
        <w:snapToGrid w:val="0"/>
        <w:spacing w:before="156" w:after="156" w:line="360" w:lineRule="auto"/>
        <w:ind w:firstLine="0"/>
        <w:jc w:val="both"/>
        <w:rPr>
          <w:rFonts w:ascii="Times New Roman" w:hAnsi="Times New Roman"/>
          <w:b/>
          <w:sz w:val="32"/>
          <w:szCs w:val="32"/>
        </w:rPr>
      </w:pPr>
    </w:p>
    <w:p w14:paraId="298227B9">
      <w:pPr>
        <w:pStyle w:val="9"/>
        <w:snapToGrid w:val="0"/>
        <w:spacing w:before="156" w:after="156" w:line="360" w:lineRule="auto"/>
        <w:ind w:firstLine="0"/>
        <w:jc w:val="both"/>
        <w:rPr>
          <w:rFonts w:ascii="Times New Roman" w:hAnsi="Times New Roman"/>
          <w:b/>
          <w:sz w:val="32"/>
          <w:szCs w:val="32"/>
        </w:rPr>
      </w:pPr>
    </w:p>
    <w:p w14:paraId="43485950">
      <w:pPr>
        <w:pStyle w:val="9"/>
        <w:snapToGrid w:val="0"/>
        <w:spacing w:before="156" w:after="156" w:line="360" w:lineRule="auto"/>
        <w:ind w:firstLine="0"/>
        <w:jc w:val="center"/>
        <w:rPr>
          <w:rFonts w:ascii="Times New Roman" w:hAnsi="Times New Roman"/>
          <w:b/>
          <w:sz w:val="32"/>
          <w:szCs w:val="32"/>
          <w:highlight w:val="yellow"/>
        </w:rPr>
      </w:pPr>
      <w:r>
        <w:rPr>
          <w:rFonts w:ascii="Times New Roman" w:hAnsi="Times New Roman"/>
          <w:b/>
          <w:sz w:val="32"/>
          <w:szCs w:val="32"/>
        </w:rPr>
        <w:t>项目名称：</w:t>
      </w:r>
      <w:r>
        <w:rPr>
          <w:rFonts w:hint="eastAsia" w:ascii="Times New Roman" w:hAnsi="Times New Roman"/>
          <w:b/>
          <w:sz w:val="32"/>
          <w:szCs w:val="32"/>
        </w:rPr>
        <w:t>高压排流线圈</w:t>
      </w:r>
    </w:p>
    <w:p w14:paraId="52D91DB2">
      <w:pPr>
        <w:pStyle w:val="9"/>
        <w:snapToGrid w:val="0"/>
        <w:spacing w:before="156" w:after="156" w:line="360" w:lineRule="auto"/>
        <w:ind w:firstLine="0"/>
        <w:jc w:val="center"/>
        <w:rPr>
          <w:rFonts w:hint="default" w:ascii="Times New Roman" w:hAnsi="Times New Roman"/>
          <w:b/>
          <w:sz w:val="32"/>
          <w:szCs w:val="32"/>
          <w:lang w:val="en-US" w:eastAsia="zh-CN"/>
        </w:rPr>
      </w:pPr>
      <w:r>
        <w:rPr>
          <w:rFonts w:hint="eastAsia" w:ascii="Times New Roman" w:hAnsi="Times New Roman"/>
          <w:b/>
          <w:sz w:val="32"/>
          <w:szCs w:val="32"/>
        </w:rPr>
        <w:t>项目编号：ZDWYY-XJ-2025015</w:t>
      </w:r>
    </w:p>
    <w:p w14:paraId="4A02E87F">
      <w:pPr>
        <w:pStyle w:val="9"/>
        <w:snapToGrid w:val="0"/>
        <w:spacing w:before="156" w:after="156" w:line="360" w:lineRule="auto"/>
        <w:ind w:firstLine="841" w:firstLineChars="294"/>
        <w:rPr>
          <w:rFonts w:ascii="Times New Roman" w:hAnsi="Times New Roman"/>
          <w:b/>
          <w:bCs/>
          <w:w w:val="95"/>
          <w:sz w:val="30"/>
          <w:szCs w:val="30"/>
        </w:rPr>
      </w:pPr>
    </w:p>
    <w:p w14:paraId="6C9E19F0">
      <w:pPr>
        <w:pStyle w:val="9"/>
        <w:snapToGrid w:val="0"/>
        <w:spacing w:before="156" w:after="156" w:line="360" w:lineRule="auto"/>
        <w:ind w:firstLine="841" w:firstLineChars="294"/>
        <w:rPr>
          <w:rFonts w:ascii="Times New Roman" w:hAnsi="Times New Roman"/>
          <w:b/>
          <w:bCs/>
          <w:w w:val="95"/>
          <w:sz w:val="30"/>
          <w:szCs w:val="30"/>
        </w:rPr>
      </w:pPr>
    </w:p>
    <w:p w14:paraId="0856092C">
      <w:pPr>
        <w:pStyle w:val="9"/>
        <w:snapToGrid w:val="0"/>
        <w:spacing w:before="156" w:after="156" w:line="360" w:lineRule="auto"/>
        <w:ind w:firstLine="841" w:firstLineChars="294"/>
        <w:rPr>
          <w:rFonts w:ascii="Times New Roman" w:hAnsi="Times New Roman"/>
          <w:b/>
          <w:bCs/>
          <w:w w:val="95"/>
          <w:sz w:val="30"/>
          <w:szCs w:val="30"/>
        </w:rPr>
      </w:pPr>
    </w:p>
    <w:p w14:paraId="67AA8F8F">
      <w:pPr>
        <w:pStyle w:val="9"/>
        <w:snapToGrid w:val="0"/>
        <w:spacing w:before="156" w:after="156" w:line="360" w:lineRule="auto"/>
        <w:ind w:firstLine="841" w:firstLineChars="294"/>
        <w:rPr>
          <w:rFonts w:ascii="Times New Roman" w:hAnsi="Times New Roman"/>
          <w:b/>
          <w:bCs/>
          <w:w w:val="95"/>
          <w:sz w:val="30"/>
          <w:szCs w:val="30"/>
        </w:rPr>
      </w:pPr>
    </w:p>
    <w:p w14:paraId="15525218">
      <w:pPr>
        <w:pStyle w:val="9"/>
        <w:snapToGrid w:val="0"/>
        <w:spacing w:before="156" w:after="156" w:line="360" w:lineRule="auto"/>
        <w:ind w:firstLine="841" w:firstLineChars="294"/>
        <w:rPr>
          <w:rFonts w:ascii="Times New Roman" w:hAnsi="Times New Roman"/>
          <w:b/>
          <w:bCs/>
          <w:w w:val="95"/>
          <w:sz w:val="30"/>
          <w:szCs w:val="30"/>
        </w:rPr>
      </w:pPr>
    </w:p>
    <w:p w14:paraId="122420D6">
      <w:pPr>
        <w:pStyle w:val="9"/>
        <w:snapToGrid w:val="0"/>
        <w:spacing w:before="156" w:after="156" w:line="360" w:lineRule="auto"/>
        <w:ind w:firstLine="841" w:firstLineChars="294"/>
        <w:rPr>
          <w:rFonts w:ascii="Times New Roman" w:hAnsi="Times New Roman"/>
          <w:b/>
          <w:bCs/>
          <w:w w:val="95"/>
          <w:sz w:val="30"/>
          <w:szCs w:val="30"/>
        </w:rPr>
      </w:pPr>
    </w:p>
    <w:p w14:paraId="6CE9A09A">
      <w:pPr>
        <w:widowControl/>
        <w:autoSpaceDE w:val="0"/>
        <w:autoSpaceDN w:val="0"/>
        <w:spacing w:line="240" w:lineRule="auto"/>
        <w:ind w:left="0" w:leftChars="0" w:firstLine="2442" w:firstLineChars="800"/>
        <w:jc w:val="both"/>
        <w:textAlignment w:val="bottom"/>
        <w:rPr>
          <w:b/>
          <w:bCs/>
          <w:w w:val="95"/>
          <w:sz w:val="32"/>
          <w:szCs w:val="32"/>
        </w:rPr>
      </w:pPr>
      <w:r>
        <w:rPr>
          <w:rFonts w:hint="eastAsia"/>
          <w:b/>
          <w:bCs/>
          <w:w w:val="95"/>
          <w:sz w:val="32"/>
          <w:szCs w:val="32"/>
        </w:rPr>
        <w:t>浙江大学温州研究院</w:t>
      </w:r>
    </w:p>
    <w:p w14:paraId="59C3375E">
      <w:pPr>
        <w:spacing w:line="440" w:lineRule="exact"/>
        <w:ind w:firstLine="0"/>
        <w:jc w:val="center"/>
        <w:rPr>
          <w:rFonts w:hint="eastAsia"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rPr>
        <w:t>2025年</w:t>
      </w:r>
      <w:r>
        <w:rPr>
          <w:rFonts w:hint="eastAsia"/>
          <w:b/>
          <w:bCs/>
          <w:w w:val="95"/>
          <w:sz w:val="32"/>
          <w:szCs w:val="32"/>
          <w:lang w:val="en-US" w:eastAsia="zh-CN"/>
        </w:rPr>
        <w:t>5</w:t>
      </w:r>
      <w:r>
        <w:rPr>
          <w:rFonts w:hint="eastAsia"/>
          <w:b/>
          <w:bCs/>
          <w:w w:val="95"/>
          <w:sz w:val="32"/>
          <w:szCs w:val="32"/>
        </w:rPr>
        <w:t>月</w:t>
      </w:r>
    </w:p>
    <w:p w14:paraId="31300211">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19CC15C1">
      <w:pPr>
        <w:numPr>
          <w:ilvl w:val="0"/>
          <w:numId w:val="1"/>
        </w:numPr>
        <w:ind w:firstLine="0"/>
        <w:rPr>
          <w:b/>
          <w:bCs/>
          <w:szCs w:val="21"/>
        </w:rPr>
      </w:pPr>
      <w:r>
        <w:rPr>
          <w:rFonts w:hint="eastAsia"/>
          <w:b/>
          <w:bCs/>
          <w:szCs w:val="21"/>
        </w:rPr>
        <w:t>采购物资：</w:t>
      </w:r>
      <w:r>
        <w:rPr>
          <w:rFonts w:hint="eastAsia"/>
          <w:b/>
          <w:bCs/>
          <w:szCs w:val="21"/>
          <w:highlight w:val="yellow"/>
        </w:rPr>
        <w:t>高压排流线圈材料</w:t>
      </w:r>
      <w:r>
        <w:rPr>
          <w:rFonts w:hint="eastAsia"/>
          <w:b/>
          <w:bCs/>
          <w:szCs w:val="21"/>
        </w:rPr>
        <w:t>；采购数量：</w:t>
      </w:r>
      <w:r>
        <w:rPr>
          <w:rFonts w:hint="eastAsia"/>
          <w:b/>
          <w:bCs/>
          <w:szCs w:val="21"/>
          <w:highlight w:val="yellow"/>
          <w:lang w:val="en-US" w:eastAsia="zh-CN"/>
        </w:rPr>
        <w:t>40套</w:t>
      </w:r>
      <w:r>
        <w:rPr>
          <w:rFonts w:hint="eastAsia"/>
          <w:b/>
          <w:bCs/>
          <w:szCs w:val="21"/>
        </w:rPr>
        <w:t>；总预算：</w:t>
      </w:r>
      <w:r>
        <w:rPr>
          <w:rFonts w:hint="eastAsia"/>
          <w:b/>
          <w:bCs/>
          <w:szCs w:val="21"/>
          <w:highlight w:val="yellow"/>
          <w:lang w:val="en-US" w:eastAsia="zh-CN"/>
        </w:rPr>
        <w:t>22</w:t>
      </w:r>
      <w:r>
        <w:rPr>
          <w:rFonts w:hint="eastAsia"/>
          <w:b/>
          <w:bCs/>
          <w:szCs w:val="21"/>
          <w:highlight w:val="yellow"/>
        </w:rPr>
        <w:t>万元</w:t>
      </w:r>
      <w:r>
        <w:rPr>
          <w:rFonts w:hint="eastAsia"/>
          <w:b/>
          <w:bCs/>
          <w:szCs w:val="21"/>
        </w:rPr>
        <w:t>。</w:t>
      </w:r>
    </w:p>
    <w:p w14:paraId="456B3CD8">
      <w:pPr>
        <w:numPr>
          <w:ilvl w:val="0"/>
          <w:numId w:val="1"/>
        </w:numPr>
        <w:ind w:firstLine="0"/>
        <w:rPr>
          <w:b/>
          <w:bCs/>
          <w:szCs w:val="21"/>
        </w:rPr>
      </w:pPr>
      <w:r>
        <w:rPr>
          <w:rFonts w:hint="eastAsia"/>
          <w:b/>
          <w:bCs/>
          <w:szCs w:val="21"/>
        </w:rPr>
        <w:t>规格参数（对规格参数有任何疑问，请联系</w:t>
      </w:r>
      <w:r>
        <w:rPr>
          <w:rFonts w:hint="eastAsia"/>
          <w:b/>
          <w:bCs/>
          <w:szCs w:val="21"/>
          <w:highlight w:val="yellow"/>
        </w:rPr>
        <w:t>项目组老师 张健，联系方式</w:t>
      </w:r>
      <w:r>
        <w:rPr>
          <w:rFonts w:hint="eastAsia"/>
          <w:b/>
          <w:bCs/>
          <w:szCs w:val="21"/>
        </w:rPr>
        <w:t>13906523818）</w:t>
      </w:r>
    </w:p>
    <w:tbl>
      <w:tblPr>
        <w:tblStyle w:val="12"/>
        <w:tblW w:w="10977" w:type="dxa"/>
        <w:tblInd w:w="-1198" w:type="dxa"/>
        <w:tblLayout w:type="fixed"/>
        <w:tblCellMar>
          <w:top w:w="0" w:type="dxa"/>
          <w:left w:w="108" w:type="dxa"/>
          <w:bottom w:w="0" w:type="dxa"/>
          <w:right w:w="108" w:type="dxa"/>
        </w:tblCellMar>
      </w:tblPr>
      <w:tblGrid>
        <w:gridCol w:w="465"/>
        <w:gridCol w:w="1550"/>
        <w:gridCol w:w="2977"/>
        <w:gridCol w:w="850"/>
        <w:gridCol w:w="676"/>
        <w:gridCol w:w="630"/>
        <w:gridCol w:w="711"/>
        <w:gridCol w:w="2468"/>
        <w:gridCol w:w="650"/>
      </w:tblGrid>
      <w:tr w14:paraId="3826556E">
        <w:trPr>
          <w:trHeight w:val="6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E09F8FE">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序号</w:t>
            </w:r>
          </w:p>
        </w:tc>
        <w:tc>
          <w:tcPr>
            <w:tcW w:w="1550" w:type="dxa"/>
            <w:tcBorders>
              <w:top w:val="single" w:color="000000" w:sz="4" w:space="0"/>
              <w:left w:val="single" w:color="000000" w:sz="4" w:space="0"/>
              <w:bottom w:val="single" w:color="000000" w:sz="4" w:space="0"/>
              <w:right w:val="single" w:color="000000" w:sz="4" w:space="0"/>
            </w:tcBorders>
            <w:vAlign w:val="center"/>
          </w:tcPr>
          <w:p w14:paraId="1FA20FE7">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商品名称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748CC6A">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技术参数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D6BA87">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数量</w:t>
            </w:r>
          </w:p>
        </w:tc>
        <w:tc>
          <w:tcPr>
            <w:tcW w:w="676" w:type="dxa"/>
            <w:tcBorders>
              <w:top w:val="single" w:color="000000" w:sz="4" w:space="0"/>
              <w:left w:val="single" w:color="000000" w:sz="4" w:space="0"/>
              <w:bottom w:val="single" w:color="000000" w:sz="4" w:space="0"/>
              <w:right w:val="single" w:color="000000" w:sz="4" w:space="0"/>
            </w:tcBorders>
            <w:noWrap/>
            <w:vAlign w:val="center"/>
          </w:tcPr>
          <w:p w14:paraId="7EBE9379">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单位</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02C7F44">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最高单价</w:t>
            </w:r>
          </w:p>
        </w:tc>
        <w:tc>
          <w:tcPr>
            <w:tcW w:w="711" w:type="dxa"/>
            <w:tcBorders>
              <w:top w:val="single" w:color="000000" w:sz="4" w:space="0"/>
              <w:left w:val="single" w:color="000000" w:sz="4" w:space="0"/>
              <w:bottom w:val="single" w:color="000000" w:sz="4" w:space="0"/>
              <w:right w:val="single" w:color="auto" w:sz="4" w:space="0"/>
            </w:tcBorders>
            <w:noWrap/>
            <w:vAlign w:val="center"/>
          </w:tcPr>
          <w:p w14:paraId="761B4CB6">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总价</w:t>
            </w:r>
          </w:p>
        </w:tc>
        <w:tc>
          <w:tcPr>
            <w:tcW w:w="2468" w:type="dxa"/>
            <w:tcBorders>
              <w:top w:val="single" w:color="auto" w:sz="4" w:space="0"/>
              <w:left w:val="single" w:color="auto" w:sz="4" w:space="0"/>
              <w:bottom w:val="single" w:color="auto" w:sz="4" w:space="0"/>
              <w:right w:val="single" w:color="auto" w:sz="4" w:space="0"/>
            </w:tcBorders>
            <w:noWrap/>
            <w:vAlign w:val="center"/>
          </w:tcPr>
          <w:p w14:paraId="105AC972">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图片</w:t>
            </w:r>
          </w:p>
        </w:tc>
        <w:tc>
          <w:tcPr>
            <w:tcW w:w="650" w:type="dxa"/>
            <w:tcBorders>
              <w:top w:val="single" w:color="auto" w:sz="4" w:space="0"/>
              <w:left w:val="single" w:color="auto" w:sz="4" w:space="0"/>
              <w:bottom w:val="single" w:color="auto" w:sz="4" w:space="0"/>
              <w:right w:val="single" w:color="auto" w:sz="4" w:space="0"/>
            </w:tcBorders>
            <w:noWrap/>
            <w:vAlign w:val="center"/>
          </w:tcPr>
          <w:p w14:paraId="05EEE07A">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备注</w:t>
            </w:r>
          </w:p>
        </w:tc>
      </w:tr>
      <w:tr w14:paraId="1E9AC7BB">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1A81DC6">
            <w:pPr>
              <w:widowControl/>
              <w:spacing w:line="240" w:lineRule="auto"/>
              <w:ind w:firstLine="0"/>
              <w:textAlignment w:val="center"/>
              <w:rPr>
                <w:rFonts w:hint="eastAsia" w:ascii="宋体" w:hAnsi="宋体" w:cs="宋体"/>
                <w:color w:val="000000"/>
                <w:sz w:val="18"/>
                <w:szCs w:val="18"/>
              </w:rPr>
            </w:pPr>
            <w:r>
              <w:rPr>
                <w:rFonts w:hint="eastAsia" w:ascii="宋体" w:hAnsi="宋体" w:cs="宋体"/>
                <w:color w:val="000000"/>
                <w:sz w:val="18"/>
                <w:szCs w:val="18"/>
                <w:lang w:bidi="ar"/>
              </w:rPr>
              <w:t>1</w:t>
            </w:r>
          </w:p>
        </w:tc>
        <w:tc>
          <w:tcPr>
            <w:tcW w:w="1550" w:type="dxa"/>
            <w:tcBorders>
              <w:top w:val="single" w:color="000000" w:sz="4" w:space="0"/>
              <w:left w:val="single" w:color="000000" w:sz="4" w:space="0"/>
              <w:bottom w:val="single" w:color="000000" w:sz="4" w:space="0"/>
              <w:right w:val="single" w:color="000000" w:sz="4" w:space="0"/>
            </w:tcBorders>
            <w:vAlign w:val="center"/>
          </w:tcPr>
          <w:p w14:paraId="198B1358">
            <w:pPr>
              <w:widowControl/>
              <w:spacing w:line="240" w:lineRule="auto"/>
              <w:ind w:firstLine="0"/>
              <w:textAlignment w:val="center"/>
              <w:rPr>
                <w:rFonts w:hint="eastAsia" w:ascii="宋体" w:hAnsi="宋体" w:cs="宋体"/>
                <w:color w:val="000000"/>
                <w:sz w:val="18"/>
                <w:szCs w:val="18"/>
              </w:rPr>
            </w:pPr>
            <w:r>
              <w:rPr>
                <w:rFonts w:hint="eastAsia" w:ascii="宋体" w:hAnsi="宋体" w:cs="宋体"/>
                <w:color w:val="000000"/>
                <w:sz w:val="18"/>
                <w:szCs w:val="18"/>
              </w:rPr>
              <w:t>高压排流线圈</w:t>
            </w:r>
          </w:p>
        </w:tc>
        <w:tc>
          <w:tcPr>
            <w:tcW w:w="2977" w:type="dxa"/>
            <w:tcBorders>
              <w:top w:val="single" w:color="000000" w:sz="4" w:space="0"/>
              <w:left w:val="single" w:color="000000" w:sz="4" w:space="0"/>
              <w:bottom w:val="single" w:color="000000" w:sz="4" w:space="0"/>
              <w:right w:val="single" w:color="000000" w:sz="4" w:space="0"/>
            </w:tcBorders>
            <w:vAlign w:val="center"/>
          </w:tcPr>
          <w:p w14:paraId="200FE3C6">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核心指标：</w:t>
            </w:r>
          </w:p>
          <w:p w14:paraId="58DE241D">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1.额定电压等级：220kV；</w:t>
            </w:r>
          </w:p>
          <w:p w14:paraId="205B647A">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2.雷电冲击耐受能力：</w:t>
            </w:r>
          </w:p>
          <w:p w14:paraId="5A488523">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标称雷电流通流容量≥ 50kA（8/20μs波形）；</w:t>
            </w:r>
          </w:p>
          <w:p w14:paraId="1DD3BBD7">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多次雷击耐受≥20次（无性能劣化）；</w:t>
            </w:r>
          </w:p>
          <w:p w14:paraId="06192DCD">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3.阻抗特性：</w:t>
            </w:r>
          </w:p>
          <w:p w14:paraId="5F5ADCE9">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工频（50Hz）阻抗≤0.1Ω（保障正常接地导通性）；</w:t>
            </w:r>
          </w:p>
          <w:p w14:paraId="66C46808">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高频（1kHz以上）阻抗≥500Ω（抑制雷电流高频分量侵入OPGW光纤）；</w:t>
            </w:r>
          </w:p>
          <w:p w14:paraId="7C6C5C3A">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4.适配性设计：</w:t>
            </w:r>
          </w:p>
          <w:p w14:paraId="63D70952">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OPGW地线接口规格：适配线径12mm~20mm（覆盖主流地线型号）；</w:t>
            </w:r>
          </w:p>
          <w:p w14:paraId="56DFC9A4">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安装方式：塔身挂装或地线引下点串接，防护等级IP65（户外防尘防水）；</w:t>
            </w:r>
          </w:p>
          <w:p w14:paraId="6BD0AD5D">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5.可靠性验证：</w:t>
            </w:r>
          </w:p>
          <w:p w14:paraId="55DBD803">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耐温范围：-40℃~+80℃（满足极端气候环境）；</w:t>
            </w:r>
          </w:p>
          <w:p w14:paraId="65558116">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抗震等级：中等抗震型（小于8.5级）；</w:t>
            </w:r>
          </w:p>
          <w:p w14:paraId="6D771A64">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设计寿命≥20年（无维护工况下）；</w:t>
            </w:r>
          </w:p>
          <w:p w14:paraId="7C89D149">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兼容标准：</w:t>
            </w:r>
          </w:p>
          <w:p w14:paraId="1E6FB81D">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符合《DL/T 1242-2013 架空输电线路防雷技术导则》要求；</w:t>
            </w:r>
          </w:p>
          <w:p w14:paraId="267AE228">
            <w:pPr>
              <w:widowControl/>
              <w:numPr>
                <w:ilvl w:val="0"/>
                <w:numId w:val="0"/>
              </w:numPr>
              <w:spacing w:line="240" w:lineRule="auto"/>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接地接口符合《GB/T 50065-2011 交流电气装置的接地设计规范》；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2ACD1E2">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676" w:type="dxa"/>
            <w:tcBorders>
              <w:top w:val="single" w:color="000000" w:sz="4" w:space="0"/>
              <w:left w:val="single" w:color="000000" w:sz="4" w:space="0"/>
              <w:bottom w:val="single" w:color="000000" w:sz="4" w:space="0"/>
              <w:right w:val="single" w:color="000000" w:sz="4" w:space="0"/>
            </w:tcBorders>
            <w:noWrap/>
            <w:vAlign w:val="center"/>
          </w:tcPr>
          <w:p w14:paraId="2AFC89D1">
            <w:pPr>
              <w:widowControl/>
              <w:spacing w:line="240" w:lineRule="auto"/>
              <w:ind w:firstLine="0"/>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53FF20A">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0.</w:t>
            </w:r>
            <w:r>
              <w:rPr>
                <w:rFonts w:hint="eastAsia" w:ascii="宋体" w:hAnsi="宋体" w:cs="宋体"/>
                <w:color w:val="000000"/>
                <w:sz w:val="18"/>
                <w:szCs w:val="18"/>
                <w:lang w:val="en-US" w:eastAsia="zh-CN"/>
              </w:rPr>
              <w:t>55万元</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71353EAC">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22万元</w:t>
            </w:r>
            <w:bookmarkStart w:id="3" w:name="_GoBack"/>
            <w:bookmarkEnd w:id="3"/>
          </w:p>
        </w:tc>
        <w:tc>
          <w:tcPr>
            <w:tcW w:w="2468" w:type="dxa"/>
            <w:tcBorders>
              <w:top w:val="single" w:color="auto" w:sz="4" w:space="0"/>
              <w:left w:val="single" w:color="000000" w:sz="4" w:space="0"/>
              <w:bottom w:val="single" w:color="auto" w:sz="4" w:space="0"/>
              <w:right w:val="single" w:color="000000" w:sz="4" w:space="0"/>
            </w:tcBorders>
            <w:noWrap/>
            <w:vAlign w:val="center"/>
          </w:tcPr>
          <w:p w14:paraId="22B252E8">
            <w:pPr>
              <w:spacing w:line="240" w:lineRule="auto"/>
              <w:jc w:val="center"/>
              <w:rPr>
                <w:rFonts w:hint="eastAsia" w:ascii="宋体" w:hAnsi="宋体" w:cs="宋体"/>
                <w:b/>
                <w:bCs/>
                <w:color w:val="000000"/>
                <w:sz w:val="18"/>
                <w:szCs w:val="18"/>
              </w:rPr>
            </w:pPr>
            <w:r>
              <w:rPr>
                <w:rFonts w:hint="eastAsia" w:ascii="宋体" w:hAnsi="宋体" w:cs="宋体"/>
                <w:b/>
                <w:bCs/>
                <w:color w:val="000000"/>
                <w:sz w:val="18"/>
                <w:szCs w:val="18"/>
              </w:rPr>
              <w:t>/</w:t>
            </w:r>
          </w:p>
        </w:tc>
        <w:tc>
          <w:tcPr>
            <w:tcW w:w="650" w:type="dxa"/>
            <w:tcBorders>
              <w:top w:val="single" w:color="auto" w:sz="4" w:space="0"/>
              <w:left w:val="single" w:color="000000" w:sz="4" w:space="0"/>
              <w:bottom w:val="single" w:color="auto" w:sz="4" w:space="0"/>
              <w:right w:val="single" w:color="000000" w:sz="4" w:space="0"/>
            </w:tcBorders>
            <w:noWrap/>
            <w:vAlign w:val="center"/>
          </w:tcPr>
          <w:p w14:paraId="2E236307">
            <w:pPr>
              <w:widowControl/>
              <w:spacing w:line="240" w:lineRule="auto"/>
              <w:ind w:firstLine="0"/>
              <w:jc w:val="left"/>
              <w:textAlignment w:val="center"/>
              <w:rPr>
                <w:rFonts w:hint="eastAsia" w:ascii="宋体" w:hAnsi="宋体" w:cs="宋体"/>
                <w:b/>
                <w:bCs/>
                <w:color w:val="000000"/>
                <w:sz w:val="18"/>
                <w:szCs w:val="18"/>
              </w:rPr>
            </w:pPr>
            <w:r>
              <w:rPr>
                <w:rFonts w:hint="eastAsia" w:ascii="宋体" w:hAnsi="宋体" w:cs="宋体"/>
                <w:b/>
                <w:bCs/>
                <w:color w:val="000000"/>
                <w:sz w:val="18"/>
                <w:szCs w:val="18"/>
              </w:rPr>
              <w:t>/</w:t>
            </w:r>
          </w:p>
        </w:tc>
      </w:tr>
    </w:tbl>
    <w:p w14:paraId="6EB67724">
      <w:pPr>
        <w:ind w:firstLine="0"/>
        <w:rPr>
          <w:b/>
          <w:bCs/>
          <w:szCs w:val="21"/>
        </w:rPr>
      </w:pPr>
    </w:p>
    <w:p w14:paraId="690585E7">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13EEE96E">
      <w:pPr>
        <w:numPr>
          <w:ilvl w:val="0"/>
          <w:numId w:val="2"/>
        </w:numPr>
        <w:rPr>
          <w:rFonts w:hint="eastAsia" w:ascii="宋体" w:hAnsi="宋体" w:cs="宋体"/>
          <w:szCs w:val="21"/>
        </w:rPr>
      </w:pPr>
      <w:bookmarkStart w:id="0" w:name="bookmark0"/>
      <w:bookmarkStart w:id="1" w:name="bookmark2"/>
      <w:bookmarkStart w:id="2" w:name="bookmark1"/>
      <w:r>
        <w:rPr>
          <w:rFonts w:hint="eastAsia" w:ascii="宋体" w:hAnsi="宋体"/>
        </w:rPr>
        <w:t>报价方式：</w:t>
      </w:r>
      <w:r>
        <w:rPr>
          <w:rFonts w:hint="eastAsia" w:ascii="宋体" w:hAnsi="宋体" w:cs="宋体"/>
          <w:szCs w:val="21"/>
        </w:rPr>
        <w:t>本次报价方式报总价，提供分项报价。综合单价中应包包含商品到达采购人指定地点并能正常使用所需的一切费用，包括但不限于商品购置费、包装费、运输费、装卸费、保险费、安装调试费、技术服务费、培训费以及保修费、税费等一切费用。</w:t>
      </w:r>
    </w:p>
    <w:p w14:paraId="4F7DD3C3">
      <w:pPr>
        <w:numPr>
          <w:ilvl w:val="0"/>
          <w:numId w:val="2"/>
        </w:numPr>
        <w:rPr>
          <w:rFonts w:hint="eastAsia" w:ascii="宋体" w:hAnsi="宋体" w:cs="宋体"/>
          <w:szCs w:val="21"/>
        </w:rPr>
      </w:pPr>
      <w:r>
        <w:rPr>
          <w:rFonts w:hint="eastAsia" w:ascii="宋体" w:hAnsi="宋体" w:cs="宋体"/>
          <w:szCs w:val="21"/>
          <w:highlight w:val="yellow"/>
        </w:rPr>
        <w:t>质保期</w:t>
      </w:r>
      <w:r>
        <w:rPr>
          <w:rFonts w:hint="eastAsia" w:ascii="宋体" w:hAnsi="宋体" w:cs="宋体"/>
          <w:szCs w:val="21"/>
        </w:rPr>
        <w:t>：验收合格后，提供不少于1</w:t>
      </w:r>
      <w:r>
        <w:rPr>
          <w:rFonts w:hint="eastAsia" w:ascii="宋体" w:hAnsi="宋体" w:cs="宋体"/>
          <w:szCs w:val="21"/>
          <w:highlight w:val="yellow"/>
        </w:rPr>
        <w:t>年的免费产品质保</w:t>
      </w:r>
      <w:r>
        <w:rPr>
          <w:rFonts w:hint="eastAsia" w:ascii="宋体" w:hAnsi="宋体" w:cs="宋体"/>
          <w:szCs w:val="21"/>
        </w:rPr>
        <w:t>。</w:t>
      </w:r>
    </w:p>
    <w:p w14:paraId="2931BF86">
      <w:pPr>
        <w:numPr>
          <w:ilvl w:val="0"/>
          <w:numId w:val="2"/>
        </w:numPr>
        <w:rPr>
          <w:rFonts w:hint="eastAsia" w:ascii="宋体" w:hAnsi="宋体" w:cs="宋体"/>
          <w:szCs w:val="21"/>
        </w:rPr>
      </w:pPr>
      <w:r>
        <w:rPr>
          <w:rFonts w:hint="eastAsia" w:ascii="宋体" w:hAnsi="宋体" w:cs="宋体"/>
          <w:szCs w:val="21"/>
          <w:highlight w:val="yellow"/>
        </w:rPr>
        <w:t>供货期</w:t>
      </w:r>
      <w:r>
        <w:rPr>
          <w:rFonts w:hint="eastAsia" w:ascii="宋体" w:hAnsi="宋体" w:cs="宋体"/>
          <w:szCs w:val="21"/>
        </w:rPr>
        <w:t>：合同签订后，</w:t>
      </w:r>
      <w:r>
        <w:rPr>
          <w:rFonts w:hint="eastAsia" w:ascii="宋体" w:hAnsi="宋体" w:cs="宋体"/>
          <w:szCs w:val="21"/>
          <w:highlight w:val="yellow"/>
        </w:rPr>
        <w:t>供货商接到发货通知后，7个工作日内</w:t>
      </w:r>
      <w:r>
        <w:rPr>
          <w:rFonts w:hint="eastAsia" w:ascii="宋体" w:hAnsi="宋体" w:cs="宋体"/>
          <w:szCs w:val="21"/>
        </w:rPr>
        <w:t xml:space="preserve">将合格货物及时送达甲方指定的地点，如未按采购人指定技术参数及款式，在规定时间内提供样品的，采购方有权终止合同。 </w:t>
      </w:r>
    </w:p>
    <w:p w14:paraId="748D4FCB">
      <w:pPr>
        <w:pStyle w:val="6"/>
        <w:numPr>
          <w:ilvl w:val="0"/>
          <w:numId w:val="2"/>
        </w:numPr>
        <w:spacing w:line="360" w:lineRule="auto"/>
        <w:rPr>
          <w:rFonts w:hint="eastAsia" w:ascii="宋体" w:hAnsi="宋体"/>
        </w:rPr>
      </w:pPr>
      <w:r>
        <w:rPr>
          <w:rFonts w:hint="eastAsia" w:ascii="宋体" w:hAnsi="宋体" w:cs="宋体"/>
          <w:highlight w:val="yellow"/>
        </w:rPr>
        <w:t>售后服务</w:t>
      </w:r>
      <w:r>
        <w:rPr>
          <w:rFonts w:hint="eastAsia" w:ascii="宋体" w:hAnsi="宋体" w:cs="宋体"/>
        </w:rPr>
        <w:t>：</w:t>
      </w:r>
      <w:r>
        <w:rPr>
          <w:rFonts w:hint="eastAsia" w:ascii="宋体" w:hAnsi="宋体" w:cs="宋体"/>
          <w:highlight w:val="yellow"/>
        </w:rPr>
        <w:t>若甲方在收到货物后发现质量问题，乙方应在接到甲方通知后立即响应，若确系质量问题，则甲方有权要求乙方免费更换。返修或更换后的部件保修</w:t>
      </w:r>
      <w:r>
        <w:rPr>
          <w:rFonts w:hint="eastAsia" w:ascii="宋体" w:hAnsi="宋体"/>
          <w:highlight w:val="yellow"/>
        </w:rPr>
        <w:t>期应重新计算</w:t>
      </w:r>
      <w:r>
        <w:rPr>
          <w:rFonts w:hint="eastAsia" w:ascii="宋体" w:hAnsi="宋体"/>
        </w:rPr>
        <w:t>。</w:t>
      </w:r>
    </w:p>
    <w:p w14:paraId="6C3B0FF6">
      <w:pPr>
        <w:pStyle w:val="6"/>
        <w:numPr>
          <w:ilvl w:val="0"/>
          <w:numId w:val="2"/>
        </w:numPr>
        <w:spacing w:line="360" w:lineRule="auto"/>
        <w:rPr>
          <w:rFonts w:hint="eastAsia" w:ascii="宋体" w:hAnsi="宋体"/>
        </w:rPr>
      </w:pPr>
      <w:r>
        <w:rPr>
          <w:rFonts w:hint="eastAsia" w:ascii="宋体" w:hAnsi="宋体"/>
          <w:highlight w:val="yellow"/>
        </w:rPr>
        <w:t>到货地点</w:t>
      </w:r>
      <w:r>
        <w:rPr>
          <w:rFonts w:hint="eastAsia" w:ascii="宋体" w:hAnsi="宋体"/>
        </w:rPr>
        <w:t>：</w:t>
      </w:r>
      <w:r>
        <w:rPr>
          <w:rFonts w:hint="eastAsia" w:ascii="宋体" w:hAnsi="宋体"/>
          <w:highlight w:val="yellow"/>
        </w:rPr>
        <w:t>浙江大学温州研究院指定地点</w:t>
      </w:r>
      <w:r>
        <w:rPr>
          <w:rFonts w:hint="eastAsia" w:ascii="宋体" w:hAnsi="宋体"/>
        </w:rPr>
        <w:t>。</w:t>
      </w:r>
    </w:p>
    <w:p w14:paraId="30E03BE4">
      <w:pPr>
        <w:pStyle w:val="6"/>
        <w:numPr>
          <w:ilvl w:val="0"/>
          <w:numId w:val="2"/>
        </w:numPr>
        <w:spacing w:line="360" w:lineRule="auto"/>
        <w:rPr>
          <w:rFonts w:hint="eastAsia" w:ascii="宋体" w:hAnsi="宋体"/>
        </w:rPr>
        <w:sectPr>
          <w:headerReference r:id="rId8" w:type="first"/>
          <w:footerReference r:id="rId10" w:type="first"/>
          <w:headerReference r:id="rId7" w:type="default"/>
          <w:footerReference r:id="rId9" w:type="default"/>
          <w:pgSz w:w="11906" w:h="16838"/>
          <w:pgMar w:top="1240" w:right="1800" w:bottom="1440" w:left="1800" w:header="851" w:footer="992" w:gutter="0"/>
          <w:pgNumType w:start="5"/>
          <w:cols w:space="720" w:num="1"/>
          <w:titlePg/>
          <w:docGrid w:type="lines" w:linePitch="312" w:charSpace="0"/>
        </w:sectPr>
      </w:pPr>
      <w:r>
        <w:rPr>
          <w:rFonts w:hint="eastAsia" w:ascii="宋体" w:hAnsi="宋体"/>
        </w:rPr>
        <w:t>对规格参数要求有任何疑问，请联系需求人</w:t>
      </w:r>
      <w:r>
        <w:rPr>
          <w:rFonts w:hint="eastAsia" w:ascii="宋体" w:hAnsi="宋体"/>
          <w:highlight w:val="yellow"/>
        </w:rPr>
        <w:t xml:space="preserve"> 张健：</w:t>
      </w:r>
      <w:r>
        <w:rPr>
          <w:rFonts w:hint="eastAsia" w:ascii="宋体" w:hAnsi="宋体"/>
        </w:rPr>
        <w:t>13906523818</w:t>
      </w:r>
    </w:p>
    <w:p w14:paraId="2566667B">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三、响应须知</w:t>
      </w:r>
    </w:p>
    <w:bookmarkEnd w:id="0"/>
    <w:bookmarkEnd w:id="1"/>
    <w:bookmarkEnd w:id="2"/>
    <w:p w14:paraId="64764F8D">
      <w:pPr>
        <w:numPr>
          <w:ilvl w:val="0"/>
          <w:numId w:val="3"/>
        </w:numPr>
        <w:tabs>
          <w:tab w:val="left" w:pos="312"/>
        </w:tabs>
        <w:rPr>
          <w:b/>
        </w:rPr>
      </w:pPr>
      <w:r>
        <w:rPr>
          <w:rFonts w:hint="eastAsia" w:ascii="宋体" w:hAnsi="宋体"/>
          <w:b/>
        </w:rPr>
        <w:t>所有报价供应商均为认同并遵守本在线询价中的所有要求。</w:t>
      </w:r>
    </w:p>
    <w:p w14:paraId="29D6D061">
      <w:pPr>
        <w:numPr>
          <w:ilvl w:val="0"/>
          <w:numId w:val="3"/>
        </w:numPr>
        <w:tabs>
          <w:tab w:val="left" w:pos="312"/>
        </w:tabs>
        <w:rPr>
          <w:b/>
        </w:rPr>
      </w:pPr>
      <w:r>
        <w:rPr>
          <w:rFonts w:hint="eastAsia"/>
          <w:b/>
        </w:rPr>
        <w:t>中标供应商如因自身原因放弃项目的中标资格或者拒签合同的，原则上不得参加对该项目重新开展的采购活动。</w:t>
      </w:r>
    </w:p>
    <w:p w14:paraId="3104F241">
      <w:pPr>
        <w:numPr>
          <w:ilvl w:val="0"/>
          <w:numId w:val="3"/>
        </w:numPr>
        <w:tabs>
          <w:tab w:val="left" w:pos="312"/>
        </w:tabs>
        <w:rPr>
          <w:b/>
        </w:rPr>
      </w:pPr>
      <w:r>
        <w:rPr>
          <w:rFonts w:hint="eastAsia" w:ascii="宋体" w:hAnsi="宋体"/>
          <w:b/>
        </w:rPr>
        <w:t>针对上述要求，报价单位必须认真审核本在线询价采购文件中的所有要求。</w:t>
      </w:r>
    </w:p>
    <w:p w14:paraId="25CE795D">
      <w:pPr>
        <w:tabs>
          <w:tab w:val="left" w:pos="-200"/>
          <w:tab w:val="left" w:pos="0"/>
        </w:tabs>
        <w:spacing w:line="240" w:lineRule="auto"/>
        <w:rPr>
          <w:rFonts w:hint="eastAsia" w:ascii="宋体" w:hAnsi="宋体"/>
          <w:b/>
        </w:rPr>
      </w:pPr>
      <w:r>
        <w:rPr>
          <w:rFonts w:hint="eastAsia" w:ascii="宋体" w:hAnsi="宋体"/>
          <w:b/>
        </w:rPr>
        <w:t>报价供应商需将加盖公章的合格有效的企业营业执照复印件、报价单（附件</w:t>
      </w:r>
      <w:r>
        <w:rPr>
          <w:rFonts w:hint="eastAsia" w:ascii="宋体" w:hAnsi="宋体"/>
          <w:b/>
          <w:lang w:val="en-US" w:eastAsia="zh-CN"/>
        </w:rPr>
        <w:t>2</w:t>
      </w:r>
      <w:r>
        <w:rPr>
          <w:rFonts w:hint="eastAsia" w:ascii="宋体" w:hAnsi="宋体"/>
          <w:b/>
        </w:rPr>
        <w:t>）文件发送至邮箱zdwzyjy2023@163.com，未按要求提交的供应商，采购人可按无效响应处理。</w:t>
      </w:r>
    </w:p>
    <w:p w14:paraId="17BE1380">
      <w:pPr>
        <w:tabs>
          <w:tab w:val="left" w:pos="-200"/>
          <w:tab w:val="left" w:pos="0"/>
        </w:tabs>
        <w:spacing w:line="240" w:lineRule="auto"/>
        <w:rPr>
          <w:rFonts w:hint="eastAsia" w:ascii="宋体" w:hAnsi="宋体"/>
          <w:b/>
        </w:rPr>
      </w:pPr>
    </w:p>
    <w:p w14:paraId="3B23C6DD">
      <w:pPr>
        <w:tabs>
          <w:tab w:val="left" w:pos="-200"/>
          <w:tab w:val="left" w:pos="0"/>
        </w:tabs>
        <w:spacing w:line="240" w:lineRule="auto"/>
        <w:rPr>
          <w:rFonts w:hint="eastAsia" w:ascii="宋体" w:hAnsi="宋体"/>
          <w:b/>
        </w:rPr>
      </w:pPr>
    </w:p>
    <w:p w14:paraId="19D20833">
      <w:pPr>
        <w:ind w:firstLine="0"/>
        <w:rPr>
          <w:w w:val="95"/>
        </w:rPr>
      </w:pPr>
    </w:p>
    <w:sectPr>
      <w:headerReference r:id="rId11" w:type="default"/>
      <w:footerReference r:id="rId12" w:type="default"/>
      <w:pgSz w:w="16838" w:h="11906" w:orient="landscape"/>
      <w:pgMar w:top="1800" w:right="851"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A224">
    <w:pPr>
      <w:pStyle w:val="10"/>
      <w:jc w:val="center"/>
    </w:pPr>
  </w:p>
  <w:p w14:paraId="1A3EF1F5">
    <w:pPr>
      <w:pStyle w:val="10"/>
    </w:pPr>
  </w:p>
  <w:p w14:paraId="7BD5044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1D1A">
    <w:pPr>
      <w:pStyle w:val="10"/>
      <w:jc w:val="right"/>
    </w:pPr>
  </w:p>
  <w:p w14:paraId="37786715">
    <w:pPr>
      <w:pStyle w:val="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165B">
    <w:pPr>
      <w:pStyle w:val="1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9071">
    <w:pPr>
      <w:pStyle w:val="10"/>
      <w:jc w:val="right"/>
    </w:pPr>
  </w:p>
  <w:p w14:paraId="094727BB">
    <w:pPr>
      <w:pStyle w:val="1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1EE5">
    <w:pPr>
      <w:pStyle w:val="11"/>
      <w:pBdr>
        <w:bottom w:val="none" w:color="auto" w:sz="0" w:space="1"/>
      </w:pBdr>
    </w:pPr>
  </w:p>
  <w:p w14:paraId="4F960B8F">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66D3">
    <w:pPr>
      <w:pStyle w:val="11"/>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7BF1D7">
                          <w:pPr>
                            <w:pStyle w:val="11"/>
                          </w:pP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Xhht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i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LJXhhtwBAADBAwAADgAAAAAAAAAB&#10;ACAAAAAeAQAAZHJzL2Uyb0RvYy54bWxQSwUGAAAAAAYABgBZAQAAbAUAAAAA&#10;">
              <v:fill on="f" focussize="0,0"/>
              <v:stroke on="f"/>
              <v:imagedata o:title=""/>
              <o:lock v:ext="edit" aspectratio="f"/>
              <v:textbox inset="0mm,0mm,0mm,0mm" style="mso-fit-shape-to-text:t;">
                <w:txbxContent>
                  <w:p w14:paraId="287BF1D7">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F3FF">
    <w:pPr>
      <w:pStyle w:val="11"/>
      <w:pBdr>
        <w:bottom w:val="none" w:color="auto" w:sz="0" w:space="1"/>
      </w:pBdr>
      <w:tabs>
        <w:tab w:val="center" w:pos="4213"/>
      </w:tabs>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2BF35E">
                          <w:pPr>
                            <w:pStyle w:val="11"/>
                            <w:jc w:val="both"/>
                          </w:pP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fMW9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I2fMW9wBAADBAwAADgAAAAAAAAAB&#10;ACAAAAAeAQAAZHJzL2Uyb0RvYy54bWxQSwUGAAAAAAYABgBZAQAAbAUAAAAA&#10;">
              <v:fill on="f" focussize="0,0"/>
              <v:stroke on="f"/>
              <v:imagedata o:title=""/>
              <o:lock v:ext="edit" aspectratio="f"/>
              <v:textbox inset="0mm,0mm,0mm,0mm" style="mso-fit-shape-to-text:t;">
                <w:txbxContent>
                  <w:p w14:paraId="182BF35E">
                    <w:pPr>
                      <w:pStyle w:val="11"/>
                      <w:jc w:val="both"/>
                    </w:pPr>
                  </w:p>
                </w:txbxContent>
              </v:textbox>
            </v:shape>
          </w:pict>
        </mc:Fallback>
      </mc:AlternateConten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CB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TRlY2YxM2Q4Yzc0Njc5ODY4NzZlZjBhYmQzOTgifQ=="/>
  </w:docVars>
  <w:rsids>
    <w:rsidRoot w:val="26CC6518"/>
    <w:rsid w:val="0002119A"/>
    <w:rsid w:val="00023689"/>
    <w:rsid w:val="00024D40"/>
    <w:rsid w:val="000415A7"/>
    <w:rsid w:val="00043E8D"/>
    <w:rsid w:val="000526BA"/>
    <w:rsid w:val="00090FF9"/>
    <w:rsid w:val="00092226"/>
    <w:rsid w:val="00094B1E"/>
    <w:rsid w:val="00095A5E"/>
    <w:rsid w:val="000B48CF"/>
    <w:rsid w:val="000C193A"/>
    <w:rsid w:val="000E1534"/>
    <w:rsid w:val="000E6EFF"/>
    <w:rsid w:val="000F5677"/>
    <w:rsid w:val="000F65EB"/>
    <w:rsid w:val="00103E74"/>
    <w:rsid w:val="001049B7"/>
    <w:rsid w:val="0011694E"/>
    <w:rsid w:val="00120883"/>
    <w:rsid w:val="00137476"/>
    <w:rsid w:val="0015331D"/>
    <w:rsid w:val="00154607"/>
    <w:rsid w:val="0016051C"/>
    <w:rsid w:val="001760EB"/>
    <w:rsid w:val="00183E36"/>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443F"/>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2FB3"/>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6FF0"/>
    <w:rsid w:val="00651067"/>
    <w:rsid w:val="00676825"/>
    <w:rsid w:val="0068356B"/>
    <w:rsid w:val="006A1D10"/>
    <w:rsid w:val="006D2BA5"/>
    <w:rsid w:val="006D6249"/>
    <w:rsid w:val="006D7808"/>
    <w:rsid w:val="006E564B"/>
    <w:rsid w:val="006F6D33"/>
    <w:rsid w:val="00722DA5"/>
    <w:rsid w:val="00752334"/>
    <w:rsid w:val="00752EBF"/>
    <w:rsid w:val="00753B1C"/>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752C1"/>
    <w:rsid w:val="00882BD6"/>
    <w:rsid w:val="00892AAB"/>
    <w:rsid w:val="00896DD1"/>
    <w:rsid w:val="008A0E19"/>
    <w:rsid w:val="008A6AEF"/>
    <w:rsid w:val="008B7082"/>
    <w:rsid w:val="008C08BE"/>
    <w:rsid w:val="008E33DF"/>
    <w:rsid w:val="009024FC"/>
    <w:rsid w:val="009071C2"/>
    <w:rsid w:val="00927D58"/>
    <w:rsid w:val="009421B9"/>
    <w:rsid w:val="0094663C"/>
    <w:rsid w:val="00952C7D"/>
    <w:rsid w:val="00977FEA"/>
    <w:rsid w:val="00983E02"/>
    <w:rsid w:val="00991094"/>
    <w:rsid w:val="00993C7F"/>
    <w:rsid w:val="009A19B7"/>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0EC0"/>
    <w:rsid w:val="00AA48D9"/>
    <w:rsid w:val="00AB056D"/>
    <w:rsid w:val="00AB3D8B"/>
    <w:rsid w:val="00AD1658"/>
    <w:rsid w:val="00AD629A"/>
    <w:rsid w:val="00AD7530"/>
    <w:rsid w:val="00AE3512"/>
    <w:rsid w:val="00AF447F"/>
    <w:rsid w:val="00B24012"/>
    <w:rsid w:val="00B35910"/>
    <w:rsid w:val="00B55648"/>
    <w:rsid w:val="00B71934"/>
    <w:rsid w:val="00B81875"/>
    <w:rsid w:val="00B94583"/>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27D3"/>
    <w:rsid w:val="00D0587F"/>
    <w:rsid w:val="00D116A8"/>
    <w:rsid w:val="00D170E5"/>
    <w:rsid w:val="00D41313"/>
    <w:rsid w:val="00D515EA"/>
    <w:rsid w:val="00D651A8"/>
    <w:rsid w:val="00D71544"/>
    <w:rsid w:val="00D724BC"/>
    <w:rsid w:val="00D8238D"/>
    <w:rsid w:val="00D82B32"/>
    <w:rsid w:val="00D909CC"/>
    <w:rsid w:val="00DA4934"/>
    <w:rsid w:val="00DA7343"/>
    <w:rsid w:val="00DB6FEB"/>
    <w:rsid w:val="00DC42E7"/>
    <w:rsid w:val="00DC6CAD"/>
    <w:rsid w:val="00DD5E1E"/>
    <w:rsid w:val="00DF046E"/>
    <w:rsid w:val="00E00F91"/>
    <w:rsid w:val="00E15BA4"/>
    <w:rsid w:val="00E22225"/>
    <w:rsid w:val="00E34B9A"/>
    <w:rsid w:val="00E372FA"/>
    <w:rsid w:val="00E43879"/>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52783"/>
    <w:rsid w:val="00F627E0"/>
    <w:rsid w:val="00F673AB"/>
    <w:rsid w:val="00FA52CB"/>
    <w:rsid w:val="00FB55E2"/>
    <w:rsid w:val="00FC6338"/>
    <w:rsid w:val="00FD00D1"/>
    <w:rsid w:val="00FD45D1"/>
    <w:rsid w:val="00FD75E7"/>
    <w:rsid w:val="00FE1BB3"/>
    <w:rsid w:val="00FE4293"/>
    <w:rsid w:val="00FF0F5A"/>
    <w:rsid w:val="00FF7263"/>
    <w:rsid w:val="01C74355"/>
    <w:rsid w:val="045D1931"/>
    <w:rsid w:val="05311908"/>
    <w:rsid w:val="06E520F4"/>
    <w:rsid w:val="072B07EF"/>
    <w:rsid w:val="08B822CA"/>
    <w:rsid w:val="08DE6D0E"/>
    <w:rsid w:val="08E07DAE"/>
    <w:rsid w:val="09CA0A04"/>
    <w:rsid w:val="0A316463"/>
    <w:rsid w:val="0A717562"/>
    <w:rsid w:val="0ABA5EA1"/>
    <w:rsid w:val="0C5F2995"/>
    <w:rsid w:val="0CAF5FEF"/>
    <w:rsid w:val="0DAD52C5"/>
    <w:rsid w:val="0DDD3A40"/>
    <w:rsid w:val="0E9D6C3E"/>
    <w:rsid w:val="0EDC362F"/>
    <w:rsid w:val="10D455F8"/>
    <w:rsid w:val="117D06E9"/>
    <w:rsid w:val="11B97609"/>
    <w:rsid w:val="125005C8"/>
    <w:rsid w:val="13C51693"/>
    <w:rsid w:val="148661A5"/>
    <w:rsid w:val="14EB00CF"/>
    <w:rsid w:val="14ED489F"/>
    <w:rsid w:val="167034BD"/>
    <w:rsid w:val="168E1562"/>
    <w:rsid w:val="173D3514"/>
    <w:rsid w:val="176D2F9A"/>
    <w:rsid w:val="181518F2"/>
    <w:rsid w:val="182B76F5"/>
    <w:rsid w:val="18867185"/>
    <w:rsid w:val="191275A0"/>
    <w:rsid w:val="19BE4D51"/>
    <w:rsid w:val="1A4A3123"/>
    <w:rsid w:val="1BB763C8"/>
    <w:rsid w:val="1C5A25D7"/>
    <w:rsid w:val="1C724A32"/>
    <w:rsid w:val="1D3D3830"/>
    <w:rsid w:val="1E530286"/>
    <w:rsid w:val="1F0A4212"/>
    <w:rsid w:val="1F647FD9"/>
    <w:rsid w:val="20961656"/>
    <w:rsid w:val="209D7127"/>
    <w:rsid w:val="20A4043D"/>
    <w:rsid w:val="21075521"/>
    <w:rsid w:val="21E0729C"/>
    <w:rsid w:val="239F1DE7"/>
    <w:rsid w:val="23BA6392"/>
    <w:rsid w:val="24461B1F"/>
    <w:rsid w:val="24965E29"/>
    <w:rsid w:val="24C053A1"/>
    <w:rsid w:val="258E28A4"/>
    <w:rsid w:val="259819C1"/>
    <w:rsid w:val="25BB3904"/>
    <w:rsid w:val="25DE19B7"/>
    <w:rsid w:val="26CC6518"/>
    <w:rsid w:val="29077FCE"/>
    <w:rsid w:val="29FA428B"/>
    <w:rsid w:val="2CC57DCA"/>
    <w:rsid w:val="2CFF2911"/>
    <w:rsid w:val="2D82642C"/>
    <w:rsid w:val="2E0A5F49"/>
    <w:rsid w:val="30A16401"/>
    <w:rsid w:val="31707A22"/>
    <w:rsid w:val="319E5231"/>
    <w:rsid w:val="31EE0F3D"/>
    <w:rsid w:val="32295A90"/>
    <w:rsid w:val="32401B61"/>
    <w:rsid w:val="3267400C"/>
    <w:rsid w:val="328C1951"/>
    <w:rsid w:val="33CF7E4B"/>
    <w:rsid w:val="33E75211"/>
    <w:rsid w:val="34A84B23"/>
    <w:rsid w:val="35521561"/>
    <w:rsid w:val="35774001"/>
    <w:rsid w:val="35A60508"/>
    <w:rsid w:val="36A35E5F"/>
    <w:rsid w:val="36C5744F"/>
    <w:rsid w:val="378568C1"/>
    <w:rsid w:val="39E07CA6"/>
    <w:rsid w:val="3A51125F"/>
    <w:rsid w:val="3A6F5774"/>
    <w:rsid w:val="3A8C2FFF"/>
    <w:rsid w:val="3AEF469A"/>
    <w:rsid w:val="3B4E1AB7"/>
    <w:rsid w:val="3B911029"/>
    <w:rsid w:val="3C084000"/>
    <w:rsid w:val="3C131FCD"/>
    <w:rsid w:val="3C254856"/>
    <w:rsid w:val="3C490D2E"/>
    <w:rsid w:val="3DE95596"/>
    <w:rsid w:val="3E6C50D8"/>
    <w:rsid w:val="3EF80D60"/>
    <w:rsid w:val="3F8F360F"/>
    <w:rsid w:val="402D19C4"/>
    <w:rsid w:val="41635215"/>
    <w:rsid w:val="41FF4E9C"/>
    <w:rsid w:val="42253CE8"/>
    <w:rsid w:val="42D279D5"/>
    <w:rsid w:val="43E03B02"/>
    <w:rsid w:val="444C361A"/>
    <w:rsid w:val="44A51168"/>
    <w:rsid w:val="44FB5B53"/>
    <w:rsid w:val="45A755F8"/>
    <w:rsid w:val="45DD43F2"/>
    <w:rsid w:val="468B269B"/>
    <w:rsid w:val="475424A4"/>
    <w:rsid w:val="48582252"/>
    <w:rsid w:val="48686A79"/>
    <w:rsid w:val="490C5FBD"/>
    <w:rsid w:val="4A32299A"/>
    <w:rsid w:val="4C6B3B21"/>
    <w:rsid w:val="4D5B371F"/>
    <w:rsid w:val="4D6B4F60"/>
    <w:rsid w:val="4D852C5F"/>
    <w:rsid w:val="4EA05C5B"/>
    <w:rsid w:val="4F187423"/>
    <w:rsid w:val="4F365532"/>
    <w:rsid w:val="4FCC1DAC"/>
    <w:rsid w:val="50FE2181"/>
    <w:rsid w:val="51652AEA"/>
    <w:rsid w:val="51B46785"/>
    <w:rsid w:val="525A7155"/>
    <w:rsid w:val="52C00EF4"/>
    <w:rsid w:val="5353276D"/>
    <w:rsid w:val="53840F34"/>
    <w:rsid w:val="53D5425E"/>
    <w:rsid w:val="54257DE3"/>
    <w:rsid w:val="5498297C"/>
    <w:rsid w:val="557939A9"/>
    <w:rsid w:val="56793775"/>
    <w:rsid w:val="569C025C"/>
    <w:rsid w:val="570A6829"/>
    <w:rsid w:val="57A14A13"/>
    <w:rsid w:val="58325980"/>
    <w:rsid w:val="58DC271C"/>
    <w:rsid w:val="59B85E5B"/>
    <w:rsid w:val="5BEB0CA6"/>
    <w:rsid w:val="5CEE34CC"/>
    <w:rsid w:val="5D457319"/>
    <w:rsid w:val="5E1930B1"/>
    <w:rsid w:val="5E7C4F42"/>
    <w:rsid w:val="5E902291"/>
    <w:rsid w:val="5FF6114B"/>
    <w:rsid w:val="63E42C62"/>
    <w:rsid w:val="64C44014"/>
    <w:rsid w:val="65904CE4"/>
    <w:rsid w:val="666F131A"/>
    <w:rsid w:val="667F5F91"/>
    <w:rsid w:val="66E203FE"/>
    <w:rsid w:val="6821710D"/>
    <w:rsid w:val="683E21B2"/>
    <w:rsid w:val="684E4409"/>
    <w:rsid w:val="687D07DA"/>
    <w:rsid w:val="69976A08"/>
    <w:rsid w:val="6B04059F"/>
    <w:rsid w:val="6B734732"/>
    <w:rsid w:val="6C155E31"/>
    <w:rsid w:val="6E4476B1"/>
    <w:rsid w:val="6E8E3BBC"/>
    <w:rsid w:val="6ED445AA"/>
    <w:rsid w:val="6F081BAF"/>
    <w:rsid w:val="6F17563E"/>
    <w:rsid w:val="6F5B0B3B"/>
    <w:rsid w:val="7036041C"/>
    <w:rsid w:val="7084409A"/>
    <w:rsid w:val="71203116"/>
    <w:rsid w:val="716A2545"/>
    <w:rsid w:val="71CE1C8A"/>
    <w:rsid w:val="71EC6A4F"/>
    <w:rsid w:val="722756E9"/>
    <w:rsid w:val="725A1750"/>
    <w:rsid w:val="727B68B1"/>
    <w:rsid w:val="729C519F"/>
    <w:rsid w:val="73D44508"/>
    <w:rsid w:val="74240A14"/>
    <w:rsid w:val="742B25FC"/>
    <w:rsid w:val="74687C26"/>
    <w:rsid w:val="748D7846"/>
    <w:rsid w:val="74AE27A1"/>
    <w:rsid w:val="74E725F0"/>
    <w:rsid w:val="75EC2B71"/>
    <w:rsid w:val="768212C0"/>
    <w:rsid w:val="76BA7523"/>
    <w:rsid w:val="76DE792F"/>
    <w:rsid w:val="77831B44"/>
    <w:rsid w:val="77E868C7"/>
    <w:rsid w:val="782A4E17"/>
    <w:rsid w:val="782D3E29"/>
    <w:rsid w:val="7AEA5A5C"/>
    <w:rsid w:val="7B8E1315"/>
    <w:rsid w:val="7BBB67DD"/>
    <w:rsid w:val="7C185F4E"/>
    <w:rsid w:val="7C2D6042"/>
    <w:rsid w:val="7C770BC7"/>
    <w:rsid w:val="7CE9661F"/>
    <w:rsid w:val="7DAF37EB"/>
    <w:rsid w:val="7DE30ED2"/>
    <w:rsid w:val="7E1A44A8"/>
    <w:rsid w:val="7E39250C"/>
    <w:rsid w:val="7E8B41CA"/>
    <w:rsid w:val="7E9D32FB"/>
    <w:rsid w:val="7F4D30FB"/>
    <w:rsid w:val="7FD75EAA"/>
    <w:rsid w:val="7FE9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0"/>
    <w:pPr>
      <w:keepNext/>
      <w:jc w:val="center"/>
      <w:outlineLvl w:val="0"/>
    </w:pPr>
    <w:rPr>
      <w:rFonts w:ascii="Arial" w:hAnsi="Arial" w:eastAsia="华文中宋"/>
      <w:b/>
      <w:color w:val="000000"/>
      <w:sz w:val="32"/>
    </w:rPr>
  </w:style>
  <w:style w:type="paragraph" w:styleId="3">
    <w:name w:val="heading 2"/>
    <w:basedOn w:val="1"/>
    <w:next w:val="1"/>
    <w:autoRedefine/>
    <w:qFormat/>
    <w:uiPriority w:val="1"/>
    <w:pPr>
      <w:ind w:left="898"/>
      <w:outlineLvl w:val="1"/>
    </w:pPr>
    <w:rPr>
      <w:rFonts w:ascii="宋体" w:hAnsi="宋体" w:cs="宋体"/>
      <w:sz w:val="28"/>
      <w:szCs w:val="28"/>
    </w:rPr>
  </w:style>
  <w:style w:type="paragraph" w:styleId="4">
    <w:name w:val="heading 3"/>
    <w:basedOn w:val="1"/>
    <w:next w:val="1"/>
    <w:autoRedefine/>
    <w:qFormat/>
    <w:uiPriority w:val="1"/>
    <w:pPr>
      <w:spacing w:before="34"/>
      <w:ind w:left="123"/>
      <w:outlineLvl w:val="2"/>
    </w:pPr>
    <w:rPr>
      <w:rFonts w:ascii="宋体" w:hAnsi="宋体" w:cs="宋体"/>
      <w:sz w:val="24"/>
    </w:rPr>
  </w:style>
  <w:style w:type="paragraph" w:styleId="5">
    <w:name w:val="heading 5"/>
    <w:basedOn w:val="1"/>
    <w:next w:val="1"/>
    <w:autoRedefine/>
    <w:qFormat/>
    <w:uiPriority w:val="1"/>
    <w:pPr>
      <w:spacing w:before="21"/>
      <w:ind w:left="910"/>
      <w:outlineLvl w:val="4"/>
    </w:pPr>
    <w:rPr>
      <w:rFonts w:ascii="宋体" w:hAnsi="宋体" w:cs="宋体"/>
      <w:b/>
      <w:bCs/>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240" w:lineRule="auto"/>
    </w:pPr>
    <w:rPr>
      <w:kern w:val="2"/>
      <w:szCs w:val="20"/>
    </w:rPr>
  </w:style>
  <w:style w:type="paragraph" w:styleId="7">
    <w:name w:val="annotation text"/>
    <w:basedOn w:val="1"/>
    <w:autoRedefine/>
    <w:semiHidden/>
    <w:qFormat/>
    <w:uiPriority w:val="0"/>
    <w:pPr>
      <w:widowControl/>
      <w:jc w:val="left"/>
    </w:pPr>
    <w:rPr>
      <w:sz w:val="20"/>
      <w:szCs w:val="20"/>
      <w:lang w:eastAsia="en-US"/>
    </w:rPr>
  </w:style>
  <w:style w:type="paragraph" w:styleId="8">
    <w:name w:val="Body Text"/>
    <w:basedOn w:val="1"/>
    <w:autoRedefine/>
    <w:qFormat/>
    <w:uiPriority w:val="1"/>
    <w:pPr>
      <w:ind w:left="543"/>
    </w:pPr>
    <w:rPr>
      <w:rFonts w:ascii="宋体" w:hAnsi="宋体" w:cs="宋体"/>
      <w:szCs w:val="21"/>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15"/>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autoRedefine/>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basedOn w:val="14"/>
    <w:link w:val="10"/>
    <w:autoRedefine/>
    <w:qFormat/>
    <w:uiPriority w:val="99"/>
    <w:rPr>
      <w:sz w:val="18"/>
      <w:szCs w:val="18"/>
    </w:rPr>
  </w:style>
  <w:style w:type="character" w:customStyle="1" w:styleId="16">
    <w:name w:val="页眉 字符"/>
    <w:basedOn w:val="14"/>
    <w:link w:val="11"/>
    <w:autoRedefine/>
    <w:qFormat/>
    <w:uiPriority w:val="99"/>
    <w:rPr>
      <w:sz w:val="18"/>
      <w:szCs w:val="18"/>
    </w:rPr>
  </w:style>
  <w:style w:type="paragraph" w:customStyle="1" w:styleId="17">
    <w:name w:val="BodyText1I2"/>
    <w:basedOn w:val="18"/>
    <w:autoRedefine/>
    <w:qFormat/>
    <w:uiPriority w:val="0"/>
    <w:pPr>
      <w:ind w:firstLine="200" w:firstLineChars="200"/>
    </w:pPr>
  </w:style>
  <w:style w:type="paragraph" w:customStyle="1" w:styleId="18">
    <w:name w:val="BodyTextIndent"/>
    <w:basedOn w:val="1"/>
    <w:autoRedefine/>
    <w:qFormat/>
    <w:uiPriority w:val="0"/>
    <w:pPr>
      <w:spacing w:after="120" w:line="240" w:lineRule="auto"/>
      <w:ind w:left="420" w:leftChars="200"/>
      <w:textAlignment w:val="baseline"/>
    </w:pPr>
    <w:rPr>
      <w:color w:val="000000"/>
      <w:kern w:val="2"/>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01"/>
    <w:basedOn w:val="14"/>
    <w:autoRedefine/>
    <w:qFormat/>
    <w:uiPriority w:val="0"/>
    <w:rPr>
      <w:rFonts w:hint="eastAsia" w:ascii="宋体" w:hAnsi="宋体" w:eastAsia="宋体" w:cs="宋体"/>
      <w:b/>
      <w:color w:val="000000"/>
      <w:sz w:val="24"/>
      <w:szCs w:val="24"/>
      <w:u w:val="none"/>
    </w:rPr>
  </w:style>
  <w:style w:type="character" w:customStyle="1" w:styleId="21">
    <w:name w:val="gray s"/>
    <w:basedOn w:val="14"/>
    <w:autoRedefine/>
    <w:qFormat/>
    <w:uiPriority w:val="0"/>
  </w:style>
  <w:style w:type="character" w:customStyle="1" w:styleId="22">
    <w:name w:val="Heading #1|1_"/>
    <w:basedOn w:val="14"/>
    <w:link w:val="23"/>
    <w:autoRedefine/>
    <w:qFormat/>
    <w:uiPriority w:val="0"/>
    <w:rPr>
      <w:rFonts w:ascii="宋体" w:hAnsi="宋体" w:eastAsia="宋体" w:cs="宋体"/>
      <w:sz w:val="38"/>
      <w:szCs w:val="38"/>
      <w:lang w:val="zh-TW" w:eastAsia="zh-TW" w:bidi="zh-TW"/>
    </w:rPr>
  </w:style>
  <w:style w:type="paragraph" w:customStyle="1" w:styleId="23">
    <w:name w:val="Heading #1|1"/>
    <w:basedOn w:val="1"/>
    <w:link w:val="22"/>
    <w:autoRedefine/>
    <w:qFormat/>
    <w:uiPriority w:val="0"/>
    <w:pPr>
      <w:spacing w:after="500" w:line="240" w:lineRule="auto"/>
      <w:ind w:firstLine="0"/>
      <w:jc w:val="center"/>
      <w:outlineLvl w:val="0"/>
    </w:pPr>
    <w:rPr>
      <w:rFonts w:ascii="宋体" w:hAnsi="宋体" w:cs="宋体"/>
      <w:sz w:val="38"/>
      <w:szCs w:val="38"/>
      <w:lang w:val="zh-TW" w:eastAsia="zh-TW" w:bidi="zh-TW"/>
    </w:rPr>
  </w:style>
  <w:style w:type="character" w:customStyle="1" w:styleId="24">
    <w:name w:val="Header or footer|2_"/>
    <w:basedOn w:val="14"/>
    <w:link w:val="25"/>
    <w:autoRedefine/>
    <w:qFormat/>
    <w:uiPriority w:val="0"/>
    <w:rPr>
      <w:lang w:val="zh-TW" w:eastAsia="zh-TW" w:bidi="zh-TW"/>
    </w:rPr>
  </w:style>
  <w:style w:type="paragraph" w:customStyle="1" w:styleId="25">
    <w:name w:val="Header or footer|2"/>
    <w:basedOn w:val="1"/>
    <w:link w:val="24"/>
    <w:autoRedefine/>
    <w:qFormat/>
    <w:uiPriority w:val="0"/>
    <w:pPr>
      <w:spacing w:line="240" w:lineRule="auto"/>
      <w:ind w:firstLine="0"/>
      <w:jc w:val="left"/>
    </w:pPr>
    <w:rPr>
      <w:sz w:val="20"/>
      <w:szCs w:val="20"/>
      <w:lang w:val="zh-TW" w:eastAsia="zh-TW" w:bidi="zh-TW"/>
    </w:rPr>
  </w:style>
  <w:style w:type="character" w:customStyle="1" w:styleId="26">
    <w:name w:val="Body text|2_"/>
    <w:basedOn w:val="14"/>
    <w:link w:val="27"/>
    <w:autoRedefine/>
    <w:qFormat/>
    <w:uiPriority w:val="0"/>
    <w:rPr>
      <w:b/>
      <w:bCs/>
      <w:color w:val="0000E7"/>
      <w:sz w:val="18"/>
      <w:szCs w:val="18"/>
      <w:lang w:val="zh-TW" w:eastAsia="zh-TW" w:bidi="zh-TW"/>
    </w:rPr>
  </w:style>
  <w:style w:type="paragraph" w:customStyle="1" w:styleId="27">
    <w:name w:val="Body text|2"/>
    <w:basedOn w:val="1"/>
    <w:link w:val="26"/>
    <w:autoRedefine/>
    <w:qFormat/>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autoRedefine/>
    <w:qFormat/>
    <w:uiPriority w:val="0"/>
    <w:rPr>
      <w:rFonts w:ascii="宋体" w:hAnsi="宋体" w:eastAsia="宋体" w:cs="宋体"/>
      <w:sz w:val="16"/>
      <w:szCs w:val="16"/>
      <w:lang w:val="zh-TW" w:eastAsia="zh-TW" w:bidi="zh-TW"/>
    </w:rPr>
  </w:style>
  <w:style w:type="paragraph" w:customStyle="1" w:styleId="29">
    <w:name w:val="Body text|1"/>
    <w:basedOn w:val="1"/>
    <w:link w:val="28"/>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0">
    <w:name w:val="Table caption|1_"/>
    <w:basedOn w:val="14"/>
    <w:link w:val="31"/>
    <w:autoRedefine/>
    <w:qFormat/>
    <w:uiPriority w:val="0"/>
    <w:rPr>
      <w:rFonts w:ascii="宋体" w:hAnsi="宋体" w:eastAsia="宋体" w:cs="宋体"/>
      <w:sz w:val="16"/>
      <w:szCs w:val="16"/>
      <w:lang w:val="zh-TW" w:eastAsia="zh-TW" w:bidi="zh-TW"/>
    </w:rPr>
  </w:style>
  <w:style w:type="paragraph" w:customStyle="1" w:styleId="31">
    <w:name w:val="Table caption|1"/>
    <w:basedOn w:val="1"/>
    <w:link w:val="30"/>
    <w:autoRedefine/>
    <w:qFormat/>
    <w:uiPriority w:val="0"/>
    <w:pPr>
      <w:spacing w:line="240" w:lineRule="auto"/>
      <w:ind w:firstLine="0"/>
      <w:jc w:val="right"/>
    </w:pPr>
    <w:rPr>
      <w:rFonts w:ascii="宋体" w:hAnsi="宋体" w:cs="宋体"/>
      <w:sz w:val="16"/>
      <w:szCs w:val="16"/>
      <w:lang w:val="zh-TW" w:eastAsia="zh-TW" w:bidi="zh-TW"/>
    </w:rPr>
  </w:style>
  <w:style w:type="character" w:customStyle="1" w:styleId="32">
    <w:name w:val="Other|1_"/>
    <w:basedOn w:val="14"/>
    <w:link w:val="33"/>
    <w:autoRedefine/>
    <w:qFormat/>
    <w:uiPriority w:val="0"/>
    <w:rPr>
      <w:rFonts w:ascii="宋体" w:hAnsi="宋体" w:eastAsia="宋体" w:cs="宋体"/>
      <w:sz w:val="16"/>
      <w:szCs w:val="16"/>
      <w:lang w:val="zh-TW" w:eastAsia="zh-TW" w:bidi="zh-TW"/>
    </w:rPr>
  </w:style>
  <w:style w:type="paragraph" w:customStyle="1" w:styleId="33">
    <w:name w:val="Other|1"/>
    <w:basedOn w:val="1"/>
    <w:link w:val="32"/>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4">
    <w:name w:val="Body text|4_"/>
    <w:basedOn w:val="14"/>
    <w:link w:val="35"/>
    <w:autoRedefine/>
    <w:qFormat/>
    <w:uiPriority w:val="0"/>
    <w:rPr>
      <w:rFonts w:ascii="宋体" w:hAnsi="宋体" w:eastAsia="宋体" w:cs="宋体"/>
      <w:color w:val="4068DD"/>
      <w:sz w:val="18"/>
      <w:szCs w:val="18"/>
      <w:lang w:val="zh-TW" w:eastAsia="zh-TW" w:bidi="zh-TW"/>
    </w:rPr>
  </w:style>
  <w:style w:type="paragraph" w:customStyle="1" w:styleId="35">
    <w:name w:val="Body text|4"/>
    <w:basedOn w:val="1"/>
    <w:link w:val="34"/>
    <w:autoRedefine/>
    <w:qFormat/>
    <w:uiPriority w:val="0"/>
    <w:pPr>
      <w:spacing w:after="40" w:line="245" w:lineRule="exact"/>
      <w:ind w:firstLine="240"/>
      <w:jc w:val="left"/>
    </w:pPr>
    <w:rPr>
      <w:rFonts w:ascii="宋体" w:hAnsi="宋体" w:cs="宋体"/>
      <w:color w:val="4068DD"/>
      <w:sz w:val="18"/>
      <w:szCs w:val="18"/>
      <w:lang w:val="zh-TW" w:eastAsia="zh-TW" w:bidi="zh-TW"/>
    </w:rPr>
  </w:style>
  <w:style w:type="character" w:customStyle="1" w:styleId="36">
    <w:name w:val="Body text|3_"/>
    <w:basedOn w:val="14"/>
    <w:link w:val="37"/>
    <w:autoRedefine/>
    <w:qFormat/>
    <w:uiPriority w:val="0"/>
    <w:rPr>
      <w:i/>
      <w:iCs/>
      <w:color w:val="4068DD"/>
      <w:sz w:val="22"/>
      <w:szCs w:val="22"/>
      <w:lang w:val="zh-TW" w:eastAsia="zh-TW" w:bidi="zh-TW"/>
    </w:rPr>
  </w:style>
  <w:style w:type="paragraph" w:customStyle="1" w:styleId="37">
    <w:name w:val="Body text|3"/>
    <w:basedOn w:val="1"/>
    <w:link w:val="36"/>
    <w:autoRedefine/>
    <w:qFormat/>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autoRedefine/>
    <w:qFormat/>
    <w:uiPriority w:val="1"/>
    <w:rPr>
      <w:rFonts w:ascii="宋体" w:hAnsi="宋体" w:cs="宋体"/>
    </w:rPr>
  </w:style>
  <w:style w:type="paragraph" w:styleId="39">
    <w:name w:val="List Paragraph"/>
    <w:basedOn w:val="1"/>
    <w:autoRedefine/>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1291</Words>
  <Characters>1467</Characters>
  <Lines>9</Lines>
  <Paragraphs>2</Paragraphs>
  <TotalTime>8</TotalTime>
  <ScaleCrop>false</ScaleCrop>
  <LinksUpToDate>false</LinksUpToDate>
  <CharactersWithSpaces>1479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2024-01-03T02:19:00Z</dcterms:created>
  <dc:creator>张才</dc:creator>
  <cp:lastModifiedBy>余佳晨</cp:lastModifiedBy>
  <dcterms:modified xsi:type="dcterms:W3CDTF">2025-05-14T07:26:15Z</dcterms:modified>
  <dc:title>60L型开水器主要参数</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6B777EBC00A84E6B9681E582B699CD93_13</vt:lpwstr>
  </property>
  <property fmtid="{D5CDD505-2E9C-101B-9397-08002B2CF9AE}" pid="4" name="KSOTemplateDocerSaveRecord">
    <vt:lpwstr>eyJoZGlkIjoiNWNjYTRlY2YxM2Q4Yzc0Njc5ODY4NzZlZjBhYmQzOTgiLCJ1c2VySWQiOiIyNTUxODAzNDkifQ==</vt:lpwstr>
  </property>
</Properties>
</file>