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68"/>
          <w:szCs w:val="68"/>
        </w:rPr>
      </w:pPr>
    </w:p>
    <w:p>
      <w:pPr>
        <w:jc w:val="center"/>
        <w:rPr>
          <w:rFonts w:hint="eastAsia" w:ascii="黑体" w:hAnsi="黑体" w:eastAsia="黑体"/>
          <w:b/>
          <w:sz w:val="64"/>
          <w:szCs w:val="64"/>
          <w:lang w:val="en-US" w:eastAsia="zh-CN"/>
        </w:rPr>
      </w:pPr>
      <w:r>
        <w:rPr>
          <w:rFonts w:hint="eastAsia" w:ascii="黑体" w:hAnsi="黑体" w:eastAsia="黑体"/>
          <w:b/>
          <w:sz w:val="64"/>
          <w:szCs w:val="64"/>
          <w:lang w:val="en-US" w:eastAsia="zh-CN"/>
        </w:rPr>
        <w:t>浙江大学温州研究院</w:t>
      </w:r>
    </w:p>
    <w:p>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pPr>
        <w:jc w:val="center"/>
        <w:rPr>
          <w:rFonts w:hint="eastAsia"/>
          <w:b/>
          <w:sz w:val="72"/>
          <w:szCs w:val="72"/>
        </w:rPr>
      </w:pPr>
    </w:p>
    <w:p>
      <w:pPr>
        <w:jc w:val="center"/>
        <w:rPr>
          <w:rFonts w:hint="eastAsia"/>
          <w:b/>
          <w:sz w:val="72"/>
          <w:szCs w:val="72"/>
        </w:rPr>
      </w:pPr>
    </w:p>
    <w:p>
      <w:pPr>
        <w:jc w:val="center"/>
        <w:rPr>
          <w:rFonts w:hint="eastAsia"/>
          <w:b/>
          <w:sz w:val="72"/>
          <w:szCs w:val="72"/>
        </w:rPr>
      </w:pPr>
    </w:p>
    <w:p>
      <w:pPr>
        <w:snapToGrid w:val="0"/>
        <w:rPr>
          <w:b/>
          <w:sz w:val="28"/>
          <w:szCs w:val="28"/>
        </w:rPr>
      </w:pPr>
    </w:p>
    <w:p>
      <w:pPr>
        <w:pStyle w:val="3"/>
        <w:snapToGrid w:val="0"/>
        <w:spacing w:before="156" w:after="156" w:line="360" w:lineRule="auto"/>
        <w:ind w:firstLine="0"/>
        <w:jc w:val="center"/>
        <w:rPr>
          <w:rFonts w:hint="default" w:ascii="Times New Roman" w:hAnsi="Times New Roman"/>
          <w:b/>
          <w:sz w:val="32"/>
          <w:szCs w:val="32"/>
          <w:highlight w:val="yellow"/>
          <w:lang w:val="en-US" w:eastAsia="zh-CN"/>
        </w:rPr>
      </w:pPr>
      <w:r>
        <w:rPr>
          <w:rFonts w:ascii="Times New Roman" w:hAnsi="Times New Roman"/>
          <w:b/>
          <w:sz w:val="32"/>
          <w:szCs w:val="32"/>
        </w:rPr>
        <w:t>项目名称：</w:t>
      </w:r>
      <w:r>
        <w:rPr>
          <w:rFonts w:hint="eastAsia" w:ascii="Times New Roman" w:hAnsi="Times New Roman"/>
          <w:b/>
          <w:sz w:val="32"/>
          <w:szCs w:val="32"/>
          <w:lang w:val="en-US" w:eastAsia="zh-CN"/>
        </w:rPr>
        <w:t>“CMA和CNAS检验检测机构资质认定”咨询辅导</w:t>
      </w:r>
    </w:p>
    <w:p>
      <w:pPr>
        <w:pStyle w:val="3"/>
        <w:snapToGrid w:val="0"/>
        <w:spacing w:before="156" w:after="156" w:line="360" w:lineRule="auto"/>
        <w:ind w:firstLine="0"/>
        <w:jc w:val="center"/>
        <w:rPr>
          <w:rFonts w:hint="default" w:ascii="Times New Roman" w:hAnsi="Times New Roman"/>
          <w:b/>
          <w:sz w:val="32"/>
          <w:szCs w:val="32"/>
          <w:highlight w:val="yellow"/>
          <w:lang w:val="en-US" w:eastAsia="zh-CN"/>
        </w:rPr>
      </w:pPr>
      <w:r>
        <w:rPr>
          <w:rFonts w:hint="eastAsia" w:ascii="Times New Roman" w:hAnsi="Times New Roman"/>
          <w:b/>
          <w:sz w:val="32"/>
          <w:szCs w:val="32"/>
          <w:highlight w:val="none"/>
          <w:lang w:val="en-US" w:eastAsia="zh-CN"/>
        </w:rPr>
        <w:t>项目编号：ZDWYY-XJ-2024016</w:t>
      </w:r>
    </w:p>
    <w:p>
      <w:pPr>
        <w:pStyle w:val="3"/>
        <w:snapToGrid w:val="0"/>
        <w:spacing w:before="156" w:after="156" w:line="360" w:lineRule="auto"/>
        <w:ind w:firstLine="841" w:firstLineChars="294"/>
        <w:rPr>
          <w:rFonts w:ascii="Times New Roman" w:hAnsi="Times New Roman"/>
          <w:b/>
          <w:bCs/>
          <w:w w:val="95"/>
          <w:sz w:val="30"/>
          <w:szCs w:val="30"/>
        </w:rPr>
      </w:pPr>
    </w:p>
    <w:p>
      <w:pPr>
        <w:pStyle w:val="3"/>
        <w:snapToGrid w:val="0"/>
        <w:spacing w:before="156" w:after="156" w:line="360" w:lineRule="auto"/>
        <w:ind w:firstLine="841" w:firstLineChars="294"/>
        <w:rPr>
          <w:rFonts w:ascii="Times New Roman" w:hAnsi="Times New Roman"/>
          <w:b/>
          <w:bCs/>
          <w:w w:val="95"/>
          <w:sz w:val="30"/>
          <w:szCs w:val="30"/>
        </w:rPr>
      </w:pPr>
    </w:p>
    <w:p>
      <w:pPr>
        <w:pStyle w:val="3"/>
        <w:snapToGrid w:val="0"/>
        <w:spacing w:before="156" w:after="156" w:line="360" w:lineRule="auto"/>
        <w:ind w:firstLine="841" w:firstLineChars="294"/>
        <w:rPr>
          <w:rFonts w:ascii="Times New Roman" w:hAnsi="Times New Roman"/>
          <w:b/>
          <w:bCs/>
          <w:w w:val="95"/>
          <w:sz w:val="30"/>
          <w:szCs w:val="30"/>
        </w:rPr>
      </w:pPr>
    </w:p>
    <w:p>
      <w:pPr>
        <w:pStyle w:val="3"/>
        <w:snapToGrid w:val="0"/>
        <w:spacing w:before="156" w:after="156" w:line="360" w:lineRule="auto"/>
        <w:ind w:firstLine="841" w:firstLineChars="294"/>
        <w:rPr>
          <w:rFonts w:ascii="Times New Roman" w:hAnsi="Times New Roman"/>
          <w:b/>
          <w:bCs/>
          <w:w w:val="95"/>
          <w:sz w:val="30"/>
          <w:szCs w:val="30"/>
        </w:rPr>
      </w:pPr>
    </w:p>
    <w:p>
      <w:pPr>
        <w:pStyle w:val="3"/>
        <w:snapToGrid w:val="0"/>
        <w:spacing w:before="156" w:after="156" w:line="360" w:lineRule="auto"/>
        <w:ind w:firstLine="841" w:firstLineChars="294"/>
        <w:rPr>
          <w:rFonts w:ascii="Times New Roman" w:hAnsi="Times New Roman"/>
          <w:b/>
          <w:bCs/>
          <w:w w:val="95"/>
          <w:sz w:val="30"/>
          <w:szCs w:val="30"/>
        </w:rPr>
      </w:pPr>
    </w:p>
    <w:p>
      <w:pPr>
        <w:pStyle w:val="3"/>
        <w:snapToGrid w:val="0"/>
        <w:spacing w:before="156" w:after="156" w:line="360" w:lineRule="auto"/>
        <w:ind w:firstLine="0" w:firstLineChars="0"/>
        <w:rPr>
          <w:rFonts w:ascii="Times New Roman" w:hAnsi="Times New Roman"/>
          <w:b/>
          <w:bCs/>
          <w:w w:val="95"/>
          <w:sz w:val="30"/>
          <w:szCs w:val="30"/>
        </w:rPr>
      </w:pPr>
    </w:p>
    <w:p>
      <w:pPr>
        <w:widowControl/>
        <w:autoSpaceDE w:val="0"/>
        <w:autoSpaceDN w:val="0"/>
        <w:spacing w:line="240" w:lineRule="auto"/>
        <w:jc w:val="center"/>
        <w:textAlignment w:val="bottom"/>
        <w:rPr>
          <w:rFonts w:hint="default" w:eastAsia="宋体"/>
          <w:b/>
          <w:bCs/>
          <w:w w:val="95"/>
          <w:sz w:val="32"/>
          <w:szCs w:val="32"/>
          <w:highlight w:val="none"/>
          <w:lang w:val="en-US" w:eastAsia="zh-CN"/>
        </w:rPr>
      </w:pPr>
      <w:r>
        <w:rPr>
          <w:rFonts w:hint="eastAsia"/>
          <w:b/>
          <w:bCs/>
          <w:w w:val="95"/>
          <w:sz w:val="32"/>
          <w:szCs w:val="32"/>
          <w:lang w:val="en-US" w:eastAsia="zh-CN"/>
        </w:rPr>
        <w:t>浙</w:t>
      </w:r>
      <w:r>
        <w:rPr>
          <w:rFonts w:hint="eastAsia"/>
          <w:b/>
          <w:bCs/>
          <w:w w:val="95"/>
          <w:sz w:val="32"/>
          <w:szCs w:val="32"/>
          <w:highlight w:val="none"/>
          <w:lang w:val="en-US" w:eastAsia="zh-CN"/>
        </w:rPr>
        <w:t>江大学温州研究院</w:t>
      </w:r>
    </w:p>
    <w:p>
      <w:pPr>
        <w:spacing w:line="440" w:lineRule="exact"/>
        <w:ind w:firstLine="0"/>
        <w:jc w:val="center"/>
        <w:rPr>
          <w:rFonts w:ascii="宋体" w:hAnsi="宋体"/>
          <w:b/>
          <w:szCs w:val="32"/>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highlight w:val="none"/>
        </w:rPr>
        <w:t>202</w:t>
      </w:r>
      <w:r>
        <w:rPr>
          <w:rFonts w:hint="eastAsia"/>
          <w:b/>
          <w:bCs/>
          <w:w w:val="95"/>
          <w:sz w:val="32"/>
          <w:szCs w:val="32"/>
          <w:highlight w:val="none"/>
          <w:lang w:val="en-US" w:eastAsia="zh-CN"/>
        </w:rPr>
        <w:t>4</w:t>
      </w:r>
      <w:r>
        <w:rPr>
          <w:rFonts w:hint="eastAsia"/>
          <w:b/>
          <w:bCs/>
          <w:w w:val="95"/>
          <w:sz w:val="32"/>
          <w:szCs w:val="32"/>
          <w:highlight w:val="none"/>
        </w:rPr>
        <w:t>年</w:t>
      </w:r>
      <w:r>
        <w:rPr>
          <w:rFonts w:hint="eastAsia"/>
          <w:b/>
          <w:bCs/>
          <w:w w:val="95"/>
          <w:sz w:val="32"/>
          <w:szCs w:val="32"/>
          <w:highlight w:val="none"/>
          <w:lang w:val="en-US" w:eastAsia="zh-CN"/>
        </w:rPr>
        <w:t>8</w:t>
      </w:r>
      <w:r>
        <w:rPr>
          <w:rFonts w:hint="eastAsia"/>
          <w:b/>
          <w:bCs/>
          <w:w w:val="95"/>
          <w:sz w:val="32"/>
          <w:szCs w:val="32"/>
          <w:highlight w:val="none"/>
        </w:rPr>
        <w:t>月</w:t>
      </w:r>
    </w:p>
    <w:p>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pPr>
        <w:numPr>
          <w:ilvl w:val="0"/>
          <w:numId w:val="1"/>
        </w:numPr>
        <w:ind w:firstLine="0"/>
        <w:rPr>
          <w:rFonts w:hint="eastAsia"/>
          <w:b/>
          <w:bCs/>
          <w:szCs w:val="21"/>
          <w:highlight w:val="none"/>
        </w:rPr>
      </w:pPr>
      <w:r>
        <w:rPr>
          <w:rFonts w:hint="eastAsia"/>
          <w:b/>
          <w:bCs/>
          <w:szCs w:val="21"/>
          <w:highlight w:val="none"/>
          <w:lang w:val="en-US" w:eastAsia="zh-CN"/>
        </w:rPr>
        <w:t>采购物资</w:t>
      </w:r>
      <w:r>
        <w:rPr>
          <w:rFonts w:hint="eastAsia"/>
          <w:b/>
          <w:bCs/>
          <w:szCs w:val="21"/>
          <w:highlight w:val="none"/>
        </w:rPr>
        <w:t>：</w:t>
      </w:r>
      <w:r>
        <w:rPr>
          <w:rFonts w:hint="eastAsia"/>
          <w:b/>
          <w:bCs/>
          <w:szCs w:val="21"/>
          <w:highlight w:val="none"/>
          <w:lang w:val="en-US" w:eastAsia="zh-CN"/>
        </w:rPr>
        <w:t>“CMA和CNAS 检验检测机构资质认定”咨询辅导</w:t>
      </w:r>
      <w:r>
        <w:rPr>
          <w:rFonts w:hint="eastAsia"/>
          <w:b/>
          <w:bCs/>
          <w:szCs w:val="21"/>
          <w:highlight w:val="none"/>
        </w:rPr>
        <w:t>；采购数量：1；总预算：</w:t>
      </w:r>
      <w:r>
        <w:rPr>
          <w:rFonts w:hint="eastAsia"/>
          <w:b/>
          <w:bCs/>
          <w:szCs w:val="21"/>
          <w:highlight w:val="none"/>
          <w:lang w:val="en-US" w:eastAsia="zh-CN"/>
        </w:rPr>
        <w:t>170000</w:t>
      </w:r>
      <w:r>
        <w:rPr>
          <w:rFonts w:hint="eastAsia"/>
          <w:b/>
          <w:bCs/>
          <w:szCs w:val="21"/>
          <w:highlight w:val="none"/>
        </w:rPr>
        <w:t>元。</w:t>
      </w:r>
    </w:p>
    <w:p>
      <w:pPr>
        <w:numPr>
          <w:ilvl w:val="0"/>
          <w:numId w:val="1"/>
        </w:numPr>
        <w:ind w:firstLine="0"/>
        <w:rPr>
          <w:rFonts w:hint="eastAsia"/>
          <w:b/>
          <w:bCs/>
          <w:szCs w:val="21"/>
          <w:highlight w:val="none"/>
        </w:rPr>
      </w:pPr>
      <w:r>
        <w:rPr>
          <w:rFonts w:hint="eastAsia"/>
          <w:b/>
          <w:bCs/>
          <w:szCs w:val="21"/>
          <w:highlight w:val="none"/>
        </w:rPr>
        <w:t>规格参数（对规格参数有任何疑问，请联系</w:t>
      </w:r>
      <w:r>
        <w:rPr>
          <w:rFonts w:hint="eastAsia"/>
          <w:b/>
          <w:bCs/>
          <w:szCs w:val="21"/>
          <w:highlight w:val="none"/>
          <w:lang w:val="en-US" w:eastAsia="zh-CN"/>
        </w:rPr>
        <w:t>项目组老师李露，联系方式19519799131</w:t>
      </w:r>
      <w:r>
        <w:rPr>
          <w:rFonts w:hint="eastAsia"/>
          <w:b/>
          <w:bCs/>
          <w:szCs w:val="21"/>
          <w:highlight w:val="none"/>
        </w:rPr>
        <w:t>）</w:t>
      </w:r>
    </w:p>
    <w:tbl>
      <w:tblPr>
        <w:tblStyle w:val="6"/>
        <w:tblW w:w="10201" w:type="dxa"/>
        <w:tblInd w:w="-1198" w:type="dxa"/>
        <w:tblLayout w:type="fixed"/>
        <w:tblCellMar>
          <w:top w:w="0" w:type="dxa"/>
          <w:left w:w="108" w:type="dxa"/>
          <w:bottom w:w="0" w:type="dxa"/>
          <w:right w:w="108" w:type="dxa"/>
        </w:tblCellMar>
      </w:tblPr>
      <w:tblGrid>
        <w:gridCol w:w="465"/>
        <w:gridCol w:w="1459"/>
        <w:gridCol w:w="3753"/>
        <w:gridCol w:w="550"/>
        <w:gridCol w:w="615"/>
        <w:gridCol w:w="1050"/>
        <w:gridCol w:w="915"/>
        <w:gridCol w:w="810"/>
        <w:gridCol w:w="584"/>
      </w:tblGrid>
      <w:tr>
        <w:tblPrEx>
          <w:tblCellMar>
            <w:top w:w="0" w:type="dxa"/>
            <w:left w:w="108" w:type="dxa"/>
            <w:bottom w:w="0" w:type="dxa"/>
            <w:right w:w="108" w:type="dxa"/>
          </w:tblCellMar>
        </w:tblPrEx>
        <w:trPr>
          <w:trHeight w:val="67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序号</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jc w:val="center"/>
              <w:textAlignment w:val="center"/>
              <w:rPr>
                <w:rFonts w:hint="default" w:ascii="宋体" w:hAnsi="宋体" w:eastAsia="宋体" w:cs="宋体"/>
                <w:b/>
                <w:bCs/>
                <w:color w:val="000000"/>
                <w:sz w:val="18"/>
                <w:szCs w:val="18"/>
                <w:highlight w:val="none"/>
                <w:lang w:val="en-US" w:eastAsia="zh-CN"/>
              </w:rPr>
            </w:pPr>
            <w:r>
              <w:rPr>
                <w:rFonts w:hint="eastAsia" w:ascii="宋体" w:hAnsi="宋体" w:cs="宋体"/>
                <w:b/>
                <w:bCs/>
                <w:color w:val="000000"/>
                <w:sz w:val="18"/>
                <w:szCs w:val="18"/>
                <w:highlight w:val="none"/>
                <w:lang w:val="en-US" w:eastAsia="zh-CN"/>
              </w:rPr>
              <w:t>项目名称</w:t>
            </w:r>
          </w:p>
        </w:tc>
        <w:tc>
          <w:tcPr>
            <w:tcW w:w="3753"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jc w:val="center"/>
              <w:textAlignment w:val="center"/>
              <w:rPr>
                <w:rFonts w:hint="eastAsia" w:ascii="宋体" w:hAnsi="宋体" w:eastAsia="宋体" w:cs="宋体"/>
                <w:b/>
                <w:bCs/>
                <w:color w:val="000000"/>
                <w:sz w:val="18"/>
                <w:szCs w:val="18"/>
                <w:highlight w:val="none"/>
                <w:lang w:eastAsia="zh-CN"/>
              </w:rPr>
            </w:pPr>
            <w:r>
              <w:rPr>
                <w:rFonts w:hint="eastAsia" w:ascii="宋体" w:hAnsi="宋体" w:cs="宋体"/>
                <w:b/>
                <w:bCs/>
                <w:color w:val="000000"/>
                <w:sz w:val="18"/>
                <w:szCs w:val="18"/>
                <w:highlight w:val="none"/>
                <w:lang w:val="en-US" w:eastAsia="zh-CN"/>
              </w:rPr>
              <w:t>服务内容</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jc w:val="center"/>
              <w:textAlignment w:val="center"/>
              <w:rPr>
                <w:rFonts w:hint="eastAsia" w:ascii="宋体" w:hAnsi="宋体" w:eastAsia="宋体" w:cs="宋体"/>
                <w:b/>
                <w:bCs/>
                <w:color w:val="000000"/>
                <w:sz w:val="18"/>
                <w:szCs w:val="18"/>
                <w:highlight w:val="none"/>
                <w:lang w:val="en-US" w:eastAsia="zh-CN"/>
              </w:rPr>
            </w:pPr>
            <w:r>
              <w:rPr>
                <w:rFonts w:hint="eastAsia" w:ascii="宋体" w:hAnsi="宋体" w:cs="宋体"/>
                <w:b/>
                <w:bCs/>
                <w:color w:val="000000"/>
                <w:sz w:val="18"/>
                <w:szCs w:val="18"/>
                <w:highlight w:val="none"/>
                <w:lang w:val="en-US" w:eastAsia="zh-CN"/>
              </w:rPr>
              <w:t>数量</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jc w:val="center"/>
              <w:textAlignment w:val="center"/>
              <w:rPr>
                <w:rFonts w:hint="eastAsia" w:ascii="宋体" w:hAnsi="宋体" w:eastAsia="宋体" w:cs="宋体"/>
                <w:b/>
                <w:bCs/>
                <w:color w:val="000000"/>
                <w:sz w:val="18"/>
                <w:szCs w:val="18"/>
                <w:highlight w:val="none"/>
                <w:lang w:eastAsia="zh-CN"/>
              </w:rPr>
            </w:pPr>
            <w:r>
              <w:rPr>
                <w:rFonts w:hint="eastAsia" w:ascii="宋体" w:hAnsi="宋体" w:cs="宋体"/>
                <w:b/>
                <w:bCs/>
                <w:color w:val="000000"/>
                <w:sz w:val="18"/>
                <w:szCs w:val="18"/>
                <w:highlight w:val="none"/>
                <w:lang w:val="en-US" w:eastAsia="zh-CN"/>
              </w:rPr>
              <w:t>单位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jc w:val="center"/>
              <w:textAlignment w:val="center"/>
              <w:rPr>
                <w:rFonts w:hint="eastAsia" w:ascii="宋体" w:hAnsi="宋体" w:eastAsia="宋体" w:cs="宋体"/>
                <w:b/>
                <w:bCs/>
                <w:color w:val="000000"/>
                <w:sz w:val="18"/>
                <w:szCs w:val="18"/>
                <w:highlight w:val="none"/>
                <w:lang w:eastAsia="zh-CN"/>
              </w:rPr>
            </w:pPr>
            <w:r>
              <w:rPr>
                <w:rFonts w:hint="eastAsia" w:ascii="宋体" w:hAnsi="宋体" w:cs="宋体"/>
                <w:b/>
                <w:bCs/>
                <w:color w:val="000000"/>
                <w:sz w:val="18"/>
                <w:szCs w:val="18"/>
                <w:highlight w:val="none"/>
              </w:rPr>
              <w:t>最高单价</w:t>
            </w:r>
            <w:r>
              <w:rPr>
                <w:rFonts w:hint="eastAsia" w:ascii="宋体" w:hAnsi="宋体" w:cs="宋体"/>
                <w:b/>
                <w:bCs/>
                <w:color w:val="000000"/>
                <w:sz w:val="18"/>
                <w:szCs w:val="18"/>
                <w:highlight w:val="none"/>
                <w:lang w:eastAsia="zh-CN"/>
              </w:rPr>
              <w:t>（</w:t>
            </w:r>
            <w:r>
              <w:rPr>
                <w:rFonts w:hint="eastAsia" w:ascii="宋体" w:hAnsi="宋体" w:cs="宋体"/>
                <w:b/>
                <w:bCs/>
                <w:color w:val="000000"/>
                <w:sz w:val="18"/>
                <w:szCs w:val="18"/>
                <w:highlight w:val="none"/>
                <w:lang w:val="en-US" w:eastAsia="zh-CN"/>
              </w:rPr>
              <w:t>元</w:t>
            </w:r>
            <w:r>
              <w:rPr>
                <w:rFonts w:hint="eastAsia" w:ascii="宋体" w:hAnsi="宋体" w:cs="宋体"/>
                <w:b/>
                <w:bCs/>
                <w:color w:val="000000"/>
                <w:sz w:val="18"/>
                <w:szCs w:val="18"/>
                <w:highlight w:val="none"/>
                <w:lang w:eastAsia="zh-CN"/>
              </w:rPr>
              <w:t>）</w:t>
            </w:r>
          </w:p>
        </w:tc>
        <w:tc>
          <w:tcPr>
            <w:tcW w:w="915" w:type="dxa"/>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jc w:val="center"/>
              <w:textAlignment w:val="center"/>
              <w:rPr>
                <w:rFonts w:hint="eastAsia" w:ascii="宋体" w:hAnsi="宋体" w:eastAsia="宋体" w:cs="宋体"/>
                <w:b/>
                <w:bCs/>
                <w:color w:val="000000"/>
                <w:sz w:val="18"/>
                <w:szCs w:val="18"/>
                <w:highlight w:val="none"/>
                <w:lang w:eastAsia="zh-CN"/>
              </w:rPr>
            </w:pPr>
            <w:r>
              <w:rPr>
                <w:rFonts w:hint="eastAsia" w:ascii="宋体" w:hAnsi="宋体" w:cs="宋体"/>
                <w:b/>
                <w:bCs/>
                <w:color w:val="000000"/>
                <w:sz w:val="18"/>
                <w:szCs w:val="18"/>
                <w:highlight w:val="none"/>
              </w:rPr>
              <w:t>总价</w:t>
            </w:r>
            <w:r>
              <w:rPr>
                <w:rFonts w:hint="eastAsia" w:ascii="宋体" w:hAnsi="宋体" w:cs="宋体"/>
                <w:b/>
                <w:bCs/>
                <w:color w:val="000000"/>
                <w:sz w:val="18"/>
                <w:szCs w:val="18"/>
                <w:highlight w:val="none"/>
                <w:lang w:eastAsia="zh-CN"/>
              </w:rPr>
              <w:t>（</w:t>
            </w:r>
            <w:r>
              <w:rPr>
                <w:rFonts w:hint="eastAsia" w:ascii="宋体" w:hAnsi="宋体" w:cs="宋体"/>
                <w:b/>
                <w:bCs/>
                <w:color w:val="000000"/>
                <w:sz w:val="18"/>
                <w:szCs w:val="18"/>
                <w:highlight w:val="none"/>
                <w:lang w:val="en-US" w:eastAsia="zh-CN"/>
              </w:rPr>
              <w:t>元</w:t>
            </w:r>
            <w:r>
              <w:rPr>
                <w:rFonts w:hint="eastAsia" w:ascii="宋体" w:hAnsi="宋体" w:cs="宋体"/>
                <w:b/>
                <w:bCs/>
                <w:color w:val="000000"/>
                <w:sz w:val="18"/>
                <w:szCs w:val="18"/>
                <w:highlight w:val="none"/>
                <w:lang w:eastAsia="zh-CN"/>
              </w:rPr>
              <w:t>）</w:t>
            </w:r>
          </w:p>
        </w:tc>
        <w:tc>
          <w:tcPr>
            <w:tcW w:w="81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left="0" w:leftChars="0" w:firstLine="0" w:firstLineChars="0"/>
              <w:jc w:val="center"/>
              <w:textAlignment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图片</w:t>
            </w:r>
          </w:p>
        </w:tc>
        <w:tc>
          <w:tcPr>
            <w:tcW w:w="58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ind w:left="0" w:leftChars="0" w:firstLine="0" w:firstLineChars="0"/>
              <w:textAlignment w:val="center"/>
              <w:rPr>
                <w:rFonts w:hint="eastAsia" w:ascii="宋体" w:hAnsi="宋体" w:eastAsia="宋体" w:cs="宋体"/>
                <w:b/>
                <w:bCs/>
                <w:color w:val="000000"/>
                <w:sz w:val="18"/>
                <w:szCs w:val="18"/>
                <w:highlight w:val="none"/>
                <w:lang w:val="en-US" w:eastAsia="zh-CN"/>
              </w:rPr>
            </w:pPr>
            <w:r>
              <w:rPr>
                <w:rFonts w:hint="eastAsia" w:ascii="宋体" w:hAnsi="宋体" w:cs="宋体"/>
                <w:b/>
                <w:bCs/>
                <w:color w:val="000000"/>
                <w:sz w:val="18"/>
                <w:szCs w:val="18"/>
                <w:highlight w:val="none"/>
                <w:lang w:val="en-US" w:eastAsia="zh-CN"/>
              </w:rPr>
              <w:t>备注</w:t>
            </w:r>
          </w:p>
        </w:tc>
      </w:tr>
      <w:tr>
        <w:tblPrEx>
          <w:tblCellMar>
            <w:top w:w="0" w:type="dxa"/>
            <w:left w:w="108" w:type="dxa"/>
            <w:bottom w:w="0" w:type="dxa"/>
            <w:right w:w="108" w:type="dxa"/>
          </w:tblCellMar>
        </w:tblPrEx>
        <w:trPr>
          <w:trHeight w:val="3108"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“CMA和CNAS 检验检测机构资质认定”咨询辅导</w:t>
            </w:r>
          </w:p>
        </w:tc>
        <w:tc>
          <w:tcPr>
            <w:tcW w:w="3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spacing w:line="240" w:lineRule="auto"/>
              <w:ind w:left="0" w:leftChars="0" w:firstLine="0" w:firstLineChars="0"/>
              <w:jc w:val="both"/>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供应商提供“CMA和CNAS 检验检测机构资质认定”咨询辅导，将在认证路径、文件准备、流程等方面提供专业指导。</w:t>
            </w:r>
          </w:p>
          <w:p>
            <w:pPr>
              <w:keepNext w:val="0"/>
              <w:keepLines w:val="0"/>
              <w:widowControl/>
              <w:numPr>
                <w:ilvl w:val="0"/>
                <w:numId w:val="2"/>
              </w:numPr>
              <w:suppressLineNumbers w:val="0"/>
              <w:spacing w:line="240" w:lineRule="auto"/>
              <w:ind w:left="0" w:leftChars="0" w:firstLine="0" w:firstLineChars="0"/>
              <w:jc w:val="both"/>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供应商应全流程跟进“双C”资质认证工作，包括体系搭建、注册申报、现场审查、整改复查等工作，直至取得认证证书。</w:t>
            </w:r>
          </w:p>
          <w:p>
            <w:pPr>
              <w:keepNext w:val="0"/>
              <w:keepLines w:val="0"/>
              <w:widowControl/>
              <w:numPr>
                <w:ilvl w:val="0"/>
                <w:numId w:val="2"/>
              </w:numPr>
              <w:suppressLineNumbers w:val="0"/>
              <w:spacing w:line="240" w:lineRule="auto"/>
              <w:ind w:left="0" w:leftChars="0" w:firstLine="0" w:firstLineChars="0"/>
              <w:jc w:val="both"/>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在实验室硬件条件符合标准要求且充分配合下供应商应确保一次性通过认证，若不通过，则再次免费咨询至通过认证为止。</w:t>
            </w:r>
          </w:p>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4、服务周期：合同签订后，供应商即应开始提供服务，直到取得认证证书；CNAS认证应在15个月内完成，CMA认证应在9个月完成。</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b w:val="0"/>
                <w:bCs w:val="0"/>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170000</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170000</w:t>
            </w:r>
          </w:p>
        </w:tc>
        <w:tc>
          <w:tcPr>
            <w:tcW w:w="810" w:type="dxa"/>
            <w:tcBorders>
              <w:top w:val="single" w:color="auto" w:sz="4" w:space="0"/>
              <w:left w:val="single" w:color="000000" w:sz="4" w:space="0"/>
              <w:bottom w:val="single" w:color="auto" w:sz="4" w:space="0"/>
              <w:right w:val="single" w:color="000000" w:sz="4" w:space="0"/>
            </w:tcBorders>
            <w:noWrap/>
            <w:vAlign w:val="center"/>
          </w:tcPr>
          <w:p>
            <w:pPr>
              <w:spacing w:line="240" w:lineRule="auto"/>
              <w:ind w:left="0" w:leftChars="0" w:firstLine="0" w:firstLineChars="0"/>
              <w:jc w:val="center"/>
              <w:rPr>
                <w:rFonts w:hint="default" w:ascii="宋体" w:hAnsi="宋体" w:eastAsia="宋体" w:cs="宋体"/>
                <w:b/>
                <w:bCs/>
                <w:color w:val="000000"/>
                <w:sz w:val="20"/>
                <w:szCs w:val="20"/>
                <w:highlight w:val="none"/>
                <w:lang w:val="en-US" w:eastAsia="zh-CN"/>
              </w:rPr>
            </w:pPr>
            <w:r>
              <w:rPr>
                <w:rFonts w:hint="eastAsia" w:ascii="宋体" w:hAnsi="宋体" w:cs="宋体"/>
                <w:b w:val="0"/>
                <w:bCs w:val="0"/>
                <w:color w:val="000000"/>
                <w:sz w:val="20"/>
                <w:szCs w:val="20"/>
                <w:highlight w:val="none"/>
                <w:lang w:val="en-US" w:eastAsia="zh-CN"/>
              </w:rPr>
              <w:t>/</w:t>
            </w:r>
          </w:p>
        </w:tc>
        <w:tc>
          <w:tcPr>
            <w:tcW w:w="584" w:type="dxa"/>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bCs/>
                <w:color w:val="000000"/>
                <w:sz w:val="20"/>
                <w:szCs w:val="20"/>
                <w:highlight w:val="none"/>
                <w:lang w:eastAsia="zh-CN"/>
              </w:rPr>
            </w:pPr>
          </w:p>
        </w:tc>
      </w:tr>
    </w:tbl>
    <w:p>
      <w:pPr>
        <w:ind w:firstLine="0"/>
        <w:rPr>
          <w:rFonts w:hint="eastAsia"/>
          <w:b/>
          <w:bCs/>
          <w:szCs w:val="21"/>
          <w:highlight w:val="none"/>
        </w:rPr>
      </w:pPr>
    </w:p>
    <w:p>
      <w:pPr>
        <w:ind w:firstLine="0"/>
        <w:rPr>
          <w:rFonts w:hint="eastAsia"/>
          <w:b/>
          <w:bCs/>
          <w:szCs w:val="21"/>
          <w:highlight w:val="none"/>
        </w:rPr>
      </w:pPr>
    </w:p>
    <w:p>
      <w:pPr>
        <w:widowControl/>
        <w:spacing w:before="199" w:after="450" w:line="450" w:lineRule="atLeast"/>
        <w:ind w:firstLine="0"/>
        <w:jc w:val="left"/>
        <w:outlineLvl w:val="1"/>
        <w:rPr>
          <w:color w:val="000000"/>
          <w:highlight w:val="none"/>
        </w:rPr>
      </w:pPr>
      <w:r>
        <w:rPr>
          <w:rFonts w:hint="eastAsia" w:ascii="微软雅黑" w:hAnsi="微软雅黑" w:eastAsia="微软雅黑" w:cs="宋体"/>
          <w:b/>
          <w:bCs/>
          <w:sz w:val="36"/>
          <w:szCs w:val="36"/>
          <w:highlight w:val="none"/>
        </w:rPr>
        <w:t>二、相关要求</w:t>
      </w:r>
    </w:p>
    <w:p>
      <w:pPr>
        <w:numPr>
          <w:ilvl w:val="0"/>
          <w:numId w:val="3"/>
        </w:numPr>
        <w:rPr>
          <w:rFonts w:hint="eastAsia" w:ascii="宋体" w:hAnsi="宋体" w:cs="宋体"/>
          <w:szCs w:val="21"/>
          <w:highlight w:val="none"/>
        </w:rPr>
      </w:pPr>
      <w:bookmarkStart w:id="0" w:name="bookmark2"/>
      <w:bookmarkStart w:id="1" w:name="bookmark1"/>
      <w:bookmarkStart w:id="2" w:name="bookmark0"/>
      <w:r>
        <w:rPr>
          <w:rFonts w:hint="eastAsia" w:ascii="宋体" w:hAnsi="宋体"/>
          <w:highlight w:val="none"/>
        </w:rPr>
        <w:t>报价方式</w:t>
      </w:r>
      <w:r>
        <w:rPr>
          <w:rFonts w:hint="eastAsia" w:ascii="宋体" w:hAnsi="宋体"/>
          <w:highlight w:val="none"/>
          <w:lang w:eastAsia="zh-CN"/>
        </w:rPr>
        <w:t>：</w:t>
      </w:r>
      <w:r>
        <w:rPr>
          <w:rFonts w:hint="eastAsia" w:ascii="宋体" w:hAnsi="宋体" w:cs="宋体"/>
          <w:szCs w:val="21"/>
          <w:highlight w:val="none"/>
        </w:rPr>
        <w:t>本次报价为咨询机构咨询服务费，方式报总价，提供分项报价。综合单价中应包含咨询机构在咨询服务过程中所需要的一切费用，包括但不限于提供服务方的差旅费、住宿费、保险费、技术服务费、培训费、税费等一切费用。申请CMA/CNAS实验室认可时需支付给审核机构及其相关的费用由申报方另行支付。</w:t>
      </w:r>
    </w:p>
    <w:p>
      <w:pPr>
        <w:numPr>
          <w:ilvl w:val="0"/>
          <w:numId w:val="3"/>
        </w:numPr>
        <w:rPr>
          <w:rFonts w:hint="eastAsia" w:ascii="宋体" w:hAnsi="宋体" w:cs="宋体"/>
          <w:szCs w:val="21"/>
          <w:highlight w:val="none"/>
        </w:rPr>
      </w:pPr>
      <w:r>
        <w:rPr>
          <w:rFonts w:hint="eastAsia" w:ascii="宋体" w:hAnsi="宋体" w:cs="宋体"/>
          <w:szCs w:val="21"/>
          <w:highlight w:val="none"/>
        </w:rPr>
        <w:t>质保期：</w:t>
      </w:r>
      <w:r>
        <w:rPr>
          <w:rFonts w:hint="eastAsia" w:ascii="宋体" w:hAnsi="宋体" w:cs="宋体"/>
          <w:szCs w:val="21"/>
          <w:highlight w:val="none"/>
          <w:lang w:val="en-US" w:eastAsia="zh-CN"/>
        </w:rPr>
        <w:t>/</w:t>
      </w:r>
    </w:p>
    <w:p>
      <w:pPr>
        <w:numPr>
          <w:ilvl w:val="0"/>
          <w:numId w:val="3"/>
        </w:numPr>
        <w:spacing w:line="360" w:lineRule="auto"/>
        <w:ind w:left="420" w:leftChars="0" w:hanging="420" w:hangingChars="200"/>
        <w:rPr>
          <w:rFonts w:hint="eastAsia" w:ascii="宋体" w:hAnsi="宋体" w:eastAsia="宋体" w:cs="Times New Roman"/>
          <w:b w:val="0"/>
          <w:bCs w:val="0"/>
          <w:highlight w:val="none"/>
          <w:lang w:val="en-US" w:eastAsia="zh-CN"/>
        </w:rPr>
      </w:pPr>
      <w:r>
        <w:rPr>
          <w:rFonts w:hint="eastAsia" w:ascii="宋体" w:hAnsi="宋体" w:cs="宋体"/>
          <w:szCs w:val="21"/>
          <w:highlight w:val="none"/>
        </w:rPr>
        <w:t>供货期：</w:t>
      </w:r>
      <w:r>
        <w:rPr>
          <w:rFonts w:hint="eastAsia" w:ascii="宋体" w:hAnsi="宋体" w:cs="宋体"/>
          <w:szCs w:val="21"/>
          <w:highlight w:val="none"/>
          <w:lang w:val="en-US" w:eastAsia="zh-CN"/>
        </w:rPr>
        <w:t>/</w:t>
      </w:r>
      <w:r>
        <w:rPr>
          <w:rFonts w:hint="eastAsia" w:ascii="宋体" w:hAnsi="宋体" w:cs="宋体"/>
          <w:szCs w:val="21"/>
          <w:highlight w:val="none"/>
        </w:rPr>
        <w:t xml:space="preserve"> </w:t>
      </w:r>
    </w:p>
    <w:p>
      <w:pPr>
        <w:numPr>
          <w:ilvl w:val="0"/>
          <w:numId w:val="3"/>
        </w:numPr>
        <w:spacing w:line="360" w:lineRule="auto"/>
        <w:ind w:left="420" w:leftChars="0" w:hanging="420" w:hangingChars="200"/>
        <w:rPr>
          <w:rFonts w:hint="eastAsia" w:ascii="宋体" w:hAnsi="宋体" w:eastAsia="宋体" w:cs="Times New Roman"/>
          <w:b w:val="0"/>
          <w:bCs w:val="0"/>
          <w:highlight w:val="none"/>
          <w:lang w:val="en-US" w:eastAsia="zh-CN"/>
        </w:rPr>
      </w:pPr>
      <w:r>
        <w:rPr>
          <w:rFonts w:hint="eastAsia" w:ascii="宋体" w:hAnsi="宋体" w:eastAsia="宋体" w:cs="宋体"/>
          <w:b w:val="0"/>
          <w:bCs w:val="0"/>
          <w:kern w:val="0"/>
          <w:szCs w:val="21"/>
          <w:highlight w:val="none"/>
        </w:rPr>
        <w:t>售后服务</w:t>
      </w:r>
      <w:r>
        <w:rPr>
          <w:rFonts w:hint="eastAsia" w:ascii="宋体" w:hAnsi="宋体" w:cs="宋体"/>
          <w:b w:val="0"/>
          <w:bCs w:val="0"/>
          <w:kern w:val="0"/>
          <w:szCs w:val="21"/>
          <w:highlight w:val="none"/>
          <w:lang w:eastAsia="zh-CN"/>
        </w:rPr>
        <w:t>：</w:t>
      </w:r>
      <w:r>
        <w:rPr>
          <w:rFonts w:hint="eastAsia" w:ascii="宋体" w:hAnsi="宋体" w:cs="宋体"/>
          <w:b w:val="0"/>
          <w:bCs w:val="0"/>
          <w:kern w:val="0"/>
          <w:szCs w:val="21"/>
          <w:highlight w:val="none"/>
          <w:lang w:val="en-US" w:eastAsia="zh-CN"/>
        </w:rPr>
        <w:t>/</w:t>
      </w:r>
    </w:p>
    <w:p>
      <w:pPr>
        <w:pStyle w:val="2"/>
        <w:numPr>
          <w:ilvl w:val="0"/>
          <w:numId w:val="3"/>
        </w:numPr>
        <w:spacing w:line="360" w:lineRule="auto"/>
        <w:rPr>
          <w:rFonts w:hint="eastAsia" w:ascii="宋体" w:hAnsi="宋体" w:eastAsia="宋体" w:cs="Times New Roman"/>
          <w:b w:val="0"/>
          <w:bCs w:val="0"/>
          <w:highlight w:val="none"/>
          <w:lang w:val="en-US" w:eastAsia="zh-CN"/>
        </w:rPr>
      </w:pPr>
      <w:r>
        <w:rPr>
          <w:rFonts w:hint="eastAsia" w:ascii="宋体" w:hAnsi="宋体" w:cs="Times New Roman"/>
          <w:b w:val="0"/>
          <w:bCs w:val="0"/>
          <w:highlight w:val="none"/>
          <w:lang w:val="en-US" w:eastAsia="zh-CN"/>
        </w:rPr>
        <w:t>服务</w:t>
      </w:r>
      <w:r>
        <w:rPr>
          <w:rFonts w:hint="eastAsia" w:ascii="宋体" w:hAnsi="宋体" w:eastAsia="宋体" w:cs="Times New Roman"/>
          <w:b w:val="0"/>
          <w:bCs w:val="0"/>
          <w:highlight w:val="none"/>
          <w:lang w:val="en-US" w:eastAsia="zh-CN"/>
        </w:rPr>
        <w:t>地点：</w:t>
      </w:r>
      <w:r>
        <w:rPr>
          <w:rFonts w:hint="eastAsia" w:ascii="宋体" w:hAnsi="宋体" w:cs="Times New Roman"/>
          <w:b w:val="0"/>
          <w:bCs w:val="0"/>
          <w:highlight w:val="none"/>
          <w:lang w:val="en-US" w:eastAsia="zh-CN"/>
        </w:rPr>
        <w:t>浙江大学温州研究院</w:t>
      </w:r>
      <w:r>
        <w:rPr>
          <w:rFonts w:hint="eastAsia" w:ascii="宋体" w:hAnsi="宋体" w:eastAsia="宋体" w:cs="Times New Roman"/>
          <w:b w:val="0"/>
          <w:bCs w:val="0"/>
          <w:highlight w:val="none"/>
          <w:lang w:val="en-US" w:eastAsia="zh-CN"/>
        </w:rPr>
        <w:t>指定地点。</w:t>
      </w:r>
    </w:p>
    <w:p>
      <w:pPr>
        <w:pStyle w:val="2"/>
        <w:numPr>
          <w:ilvl w:val="0"/>
          <w:numId w:val="3"/>
        </w:numPr>
        <w:spacing w:line="360" w:lineRule="auto"/>
        <w:rPr>
          <w:rFonts w:hint="eastAsia" w:ascii="宋体" w:hAnsi="宋体" w:eastAsia="宋体" w:cs="Times New Roman"/>
          <w:b w:val="0"/>
          <w:bCs w:val="0"/>
          <w:highlight w:val="none"/>
          <w:lang w:val="en-US" w:eastAsia="zh-CN"/>
        </w:rPr>
        <w:sectPr>
          <w:headerReference r:id="rId8" w:type="first"/>
          <w:footerReference r:id="rId10" w:type="first"/>
          <w:headerReference r:id="rId7" w:type="default"/>
          <w:footerReference r:id="rId9" w:type="default"/>
          <w:pgSz w:w="11906" w:h="16838"/>
          <w:pgMar w:top="1240" w:right="1800" w:bottom="1440" w:left="1800" w:header="851" w:footer="992" w:gutter="0"/>
          <w:pgBorders>
            <w:top w:val="none" w:sz="0" w:space="0"/>
            <w:left w:val="none" w:sz="0" w:space="0"/>
            <w:bottom w:val="none" w:sz="0" w:space="0"/>
            <w:right w:val="none" w:sz="0" w:space="0"/>
          </w:pgBorders>
          <w:pgNumType w:fmt="decimal" w:start="5"/>
          <w:cols w:space="720" w:num="1"/>
          <w:titlePg/>
          <w:docGrid w:type="lines" w:linePitch="312" w:charSpace="0"/>
        </w:sectPr>
      </w:pPr>
      <w:r>
        <w:rPr>
          <w:rFonts w:hint="eastAsia" w:ascii="宋体" w:hAnsi="宋体" w:eastAsia="宋体" w:cs="Times New Roman"/>
          <w:b w:val="0"/>
          <w:bCs w:val="0"/>
          <w:highlight w:val="none"/>
          <w:lang w:val="en-US" w:eastAsia="zh-CN"/>
        </w:rPr>
        <w:t>对规格参数要求有任何疑问，请联系</w:t>
      </w:r>
      <w:r>
        <w:rPr>
          <w:rFonts w:hint="eastAsia" w:ascii="宋体" w:hAnsi="宋体" w:cs="Times New Roman"/>
          <w:b w:val="0"/>
          <w:bCs w:val="0"/>
          <w:highlight w:val="none"/>
          <w:lang w:val="en-US" w:eastAsia="zh-CN"/>
        </w:rPr>
        <w:t>需求人李露老师</w:t>
      </w:r>
      <w:r>
        <w:rPr>
          <w:rFonts w:hint="eastAsia" w:ascii="宋体" w:hAnsi="宋体" w:eastAsia="宋体" w:cs="Times New Roman"/>
          <w:b w:val="0"/>
          <w:bCs w:val="0"/>
          <w:highlight w:val="none"/>
          <w:lang w:val="en-US" w:eastAsia="zh-CN"/>
        </w:rPr>
        <w:t>：</w:t>
      </w:r>
      <w:r>
        <w:rPr>
          <w:rFonts w:hint="eastAsia" w:ascii="宋体" w:hAnsi="宋体" w:cs="Times New Roman"/>
          <w:b w:val="0"/>
          <w:bCs w:val="0"/>
          <w:highlight w:val="none"/>
          <w:lang w:val="en-US" w:eastAsia="zh-CN"/>
        </w:rPr>
        <w:t>19519799131</w:t>
      </w:r>
    </w:p>
    <w:p>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lang w:eastAsia="zh-CN"/>
        </w:rPr>
        <w:t>三</w:t>
      </w:r>
      <w:r>
        <w:rPr>
          <w:rFonts w:hint="eastAsia" w:ascii="微软雅黑" w:hAnsi="微软雅黑" w:eastAsia="微软雅黑" w:cs="宋体"/>
          <w:b/>
          <w:bCs/>
          <w:sz w:val="36"/>
          <w:szCs w:val="36"/>
        </w:rPr>
        <w:t>、响应须知</w:t>
      </w:r>
    </w:p>
    <w:bookmarkEnd w:id="0"/>
    <w:bookmarkEnd w:id="1"/>
    <w:bookmarkEnd w:id="2"/>
    <w:p>
      <w:pPr>
        <w:numPr>
          <w:ilvl w:val="0"/>
          <w:numId w:val="4"/>
        </w:numPr>
        <w:tabs>
          <w:tab w:val="left" w:pos="312"/>
        </w:tabs>
        <w:rPr>
          <w:b/>
          <w:color w:val="auto"/>
        </w:rPr>
      </w:pPr>
      <w:r>
        <w:rPr>
          <w:rFonts w:hint="eastAsia" w:ascii="宋体" w:hAnsi="宋体"/>
          <w:b/>
          <w:color w:val="auto"/>
        </w:rPr>
        <w:t>所有报价供应商均为认同并遵守本在线询价中的所有要求。</w:t>
      </w:r>
    </w:p>
    <w:p>
      <w:pPr>
        <w:numPr>
          <w:ilvl w:val="0"/>
          <w:numId w:val="4"/>
        </w:numPr>
        <w:tabs>
          <w:tab w:val="left" w:pos="312"/>
        </w:tabs>
        <w:rPr>
          <w:b/>
          <w:color w:val="auto"/>
        </w:rPr>
      </w:pPr>
      <w:r>
        <w:rPr>
          <w:rFonts w:hint="eastAsia"/>
          <w:b/>
          <w:color w:val="auto"/>
        </w:rPr>
        <w:t>中标供应商如因自身原因放弃项目的中标资格或者拒签合同的，原则上不得参加对该项目重新开展的采购活动。</w:t>
      </w:r>
    </w:p>
    <w:p>
      <w:pPr>
        <w:numPr>
          <w:ilvl w:val="0"/>
          <w:numId w:val="4"/>
        </w:numPr>
        <w:tabs>
          <w:tab w:val="left" w:pos="312"/>
        </w:tabs>
        <w:rPr>
          <w:b/>
          <w:color w:val="auto"/>
        </w:rPr>
      </w:pPr>
      <w:r>
        <w:rPr>
          <w:rFonts w:hint="eastAsia" w:ascii="宋体" w:hAnsi="宋体"/>
          <w:b/>
          <w:color w:val="auto"/>
        </w:rPr>
        <w:t>针对上述要求，报价单位必须认真审核本在线询价采购文件中的所有要求。</w:t>
      </w:r>
    </w:p>
    <w:p>
      <w:pPr>
        <w:tabs>
          <w:tab w:val="left" w:pos="-200"/>
          <w:tab w:val="left" w:pos="0"/>
        </w:tabs>
        <w:spacing w:line="240" w:lineRule="auto"/>
        <w:rPr>
          <w:rFonts w:hint="eastAsia" w:ascii="宋体" w:hAnsi="宋体"/>
          <w:b/>
          <w:color w:val="auto"/>
          <w:highlight w:val="none"/>
        </w:rPr>
      </w:pPr>
    </w:p>
    <w:p>
      <w:pPr>
        <w:tabs>
          <w:tab w:val="left" w:pos="-200"/>
          <w:tab w:val="left" w:pos="0"/>
        </w:tabs>
        <w:spacing w:line="240" w:lineRule="auto"/>
        <w:rPr>
          <w:rFonts w:hint="eastAsia" w:ascii="宋体" w:hAnsi="宋体" w:cs="宋体"/>
          <w:color w:val="auto"/>
          <w:sz w:val="21"/>
          <w:szCs w:val="21"/>
          <w:highlight w:val="none"/>
          <w:lang w:val="en-US" w:eastAsia="zh-CN"/>
        </w:rPr>
        <w:sectPr>
          <w:headerReference r:id="rId11" w:type="default"/>
          <w:footerReference r:id="rId12" w:type="default"/>
          <w:type w:val="continuous"/>
          <w:pgSz w:w="11906" w:h="16838"/>
          <w:pgMar w:top="851" w:right="1800" w:bottom="1440" w:left="1800" w:header="851" w:footer="992" w:gutter="0"/>
          <w:cols w:space="720" w:num="1"/>
          <w:docGrid w:type="lines" w:linePitch="312" w:charSpace="0"/>
        </w:sectPr>
      </w:pPr>
      <w:r>
        <w:rPr>
          <w:rFonts w:hint="eastAsia" w:ascii="宋体" w:hAnsi="宋体"/>
          <w:b/>
          <w:color w:val="auto"/>
          <w:highlight w:val="none"/>
        </w:rPr>
        <w:t>报价供应商需</w:t>
      </w:r>
      <w:r>
        <w:rPr>
          <w:rFonts w:hint="eastAsia" w:ascii="宋体" w:hAnsi="宋体"/>
          <w:b/>
          <w:color w:val="auto"/>
          <w:highlight w:val="none"/>
          <w:lang w:val="en-US" w:eastAsia="zh-CN"/>
        </w:rPr>
        <w:t>将</w:t>
      </w:r>
      <w:r>
        <w:rPr>
          <w:rFonts w:hint="eastAsia" w:asciiTheme="majorEastAsia" w:hAnsiTheme="majorEastAsia" w:eastAsiaTheme="majorEastAsia" w:cstheme="majorEastAsia"/>
          <w:b/>
          <w:bCs/>
          <w:sz w:val="21"/>
          <w:szCs w:val="21"/>
          <w:highlight w:val="cyan"/>
          <w:lang w:val="en-US" w:eastAsia="zh-CN"/>
        </w:rPr>
        <w:t>加盖公章的合格有效的企业营业执照复印件、</w:t>
      </w:r>
      <w:r>
        <w:rPr>
          <w:rFonts w:hint="eastAsia" w:ascii="宋体" w:hAnsi="宋体"/>
          <w:b/>
          <w:bCs/>
          <w:highlight w:val="cyan"/>
        </w:rPr>
        <w:t>相</w:t>
      </w:r>
      <w:r>
        <w:rPr>
          <w:rFonts w:hint="eastAsia" w:ascii="宋体" w:hAnsi="宋体"/>
          <w:b/>
          <w:highlight w:val="cyan"/>
        </w:rPr>
        <w:t>关</w:t>
      </w:r>
      <w:r>
        <w:rPr>
          <w:rFonts w:hint="eastAsia" w:ascii="宋体" w:hAnsi="宋体"/>
          <w:b/>
          <w:highlight w:val="cyan"/>
          <w:lang w:val="en-US" w:eastAsia="zh-CN"/>
        </w:rPr>
        <w:t>业绩证明</w:t>
      </w:r>
      <w:r>
        <w:rPr>
          <w:rFonts w:hint="eastAsia" w:ascii="宋体" w:hAnsi="宋体"/>
          <w:b/>
          <w:highlight w:val="cyan"/>
          <w:lang w:eastAsia="zh-CN"/>
        </w:rPr>
        <w:t>、</w:t>
      </w:r>
      <w:r>
        <w:rPr>
          <w:rFonts w:hint="eastAsia" w:ascii="宋体" w:hAnsi="宋体"/>
          <w:b/>
          <w:highlight w:val="cyan"/>
        </w:rPr>
        <w:t>报价单（附件</w:t>
      </w:r>
      <w:r>
        <w:rPr>
          <w:rFonts w:hint="eastAsia" w:ascii="宋体" w:hAnsi="宋体"/>
          <w:b/>
          <w:highlight w:val="cyan"/>
          <w:lang w:val="en-US" w:eastAsia="zh-CN"/>
        </w:rPr>
        <w:t>1</w:t>
      </w:r>
      <w:r>
        <w:rPr>
          <w:rFonts w:hint="eastAsia" w:ascii="宋体" w:hAnsi="宋体"/>
          <w:b/>
          <w:highlight w:val="cyan"/>
        </w:rPr>
        <w:t>）</w:t>
      </w:r>
      <w:r>
        <w:rPr>
          <w:rFonts w:hint="eastAsia" w:ascii="宋体" w:hAnsi="宋体"/>
          <w:b/>
          <w:highlight w:val="cyan"/>
          <w:lang w:val="en-US" w:eastAsia="zh-CN"/>
        </w:rPr>
        <w:t>及其他证明能力的资料</w:t>
      </w:r>
      <w:r>
        <w:rPr>
          <w:rFonts w:hint="eastAsia" w:ascii="宋体" w:hAnsi="宋体"/>
          <w:b/>
          <w:color w:val="auto"/>
          <w:highlight w:val="none"/>
          <w:lang w:val="en-US" w:eastAsia="zh-CN"/>
        </w:rPr>
        <w:t>文件发送至邮箱zdwzyjy2023@163.com，</w:t>
      </w:r>
      <w:r>
        <w:rPr>
          <w:rFonts w:hint="eastAsia" w:ascii="宋体" w:hAnsi="宋体"/>
          <w:b/>
          <w:color w:val="auto"/>
          <w:highlight w:val="none"/>
        </w:rPr>
        <w:t>未按要求提交的供应商，采购人可按无效响应处理。</w:t>
      </w:r>
    </w:p>
    <w:p>
      <w:pPr>
        <w:tabs>
          <w:tab w:val="left" w:pos="-200"/>
          <w:tab w:val="left" w:pos="0"/>
        </w:tabs>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附</w:t>
      </w:r>
      <w:r>
        <w:rPr>
          <w:rFonts w:hint="eastAsia" w:ascii="宋体" w:hAnsi="宋体" w:cs="宋体"/>
          <w:color w:val="auto"/>
          <w:sz w:val="21"/>
          <w:szCs w:val="21"/>
          <w:highlight w:val="none"/>
        </w:rPr>
        <w:t>件1：  报价单</w:t>
      </w:r>
    </w:p>
    <w:p>
      <w:pPr>
        <w:ind w:firstLine="6160" w:firstLineChars="1400"/>
        <w:rPr>
          <w:rFonts w:hint="eastAsia" w:ascii="宋体" w:hAnsi="宋体" w:cs="宋体"/>
          <w:color w:val="auto"/>
          <w:sz w:val="21"/>
          <w:szCs w:val="21"/>
          <w:highlight w:val="none"/>
        </w:rPr>
      </w:pPr>
      <w:r>
        <w:rPr>
          <w:rFonts w:hint="eastAsia" w:ascii="方正小标宋简体" w:eastAsia="方正小标宋简体"/>
          <w:sz w:val="44"/>
          <w:szCs w:val="44"/>
          <w:lang w:val="en-US" w:eastAsia="zh-CN"/>
        </w:rPr>
        <w:t xml:space="preserve">报 </w:t>
      </w:r>
      <w:r>
        <w:rPr>
          <w:rFonts w:hint="eastAsia" w:ascii="方正小标宋简体" w:eastAsia="方正小标宋简体"/>
          <w:sz w:val="44"/>
          <w:szCs w:val="44"/>
        </w:rPr>
        <w:t>价 单</w:t>
      </w:r>
    </w:p>
    <w:tbl>
      <w:tblPr>
        <w:tblStyle w:val="7"/>
        <w:tblpPr w:leftFromText="180" w:rightFromText="180" w:vertAnchor="text" w:horzAnchor="margin" w:tblpXSpec="center" w:tblpY="11"/>
        <w:tblW w:w="15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151"/>
        <w:gridCol w:w="1322"/>
        <w:gridCol w:w="1494"/>
        <w:gridCol w:w="2584"/>
        <w:gridCol w:w="1230"/>
        <w:gridCol w:w="1092"/>
        <w:gridCol w:w="999"/>
        <w:gridCol w:w="969"/>
        <w:gridCol w:w="1276"/>
        <w:gridCol w:w="1169"/>
        <w:gridCol w:w="1210"/>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38" w:type="dxa"/>
            <w:gridSpan w:val="4"/>
            <w:vAlign w:val="center"/>
          </w:tcPr>
          <w:p>
            <w:pPr>
              <w:jc w:val="center"/>
              <w:rPr>
                <w:rFonts w:hint="default" w:asciiTheme="minorEastAsia" w:hAnsiTheme="minorEastAsia" w:eastAsiaTheme="minorEastAsia"/>
                <w:sz w:val="24"/>
                <w:szCs w:val="24"/>
                <w:lang w:val="en-US" w:eastAsia="zh-CN"/>
              </w:rPr>
            </w:pPr>
            <w:r>
              <w:rPr>
                <w:rFonts w:hint="eastAsia"/>
                <w:sz w:val="24"/>
              </w:rPr>
              <w:t>投标项目名称</w:t>
            </w:r>
            <w:r>
              <w:rPr>
                <w:rFonts w:hint="eastAsia"/>
                <w:sz w:val="24"/>
                <w:lang w:val="en-US" w:eastAsia="zh-CN"/>
              </w:rPr>
              <w:t>及编号</w:t>
            </w:r>
          </w:p>
        </w:tc>
        <w:tc>
          <w:tcPr>
            <w:tcW w:w="10541" w:type="dxa"/>
            <w:gridSpan w:val="9"/>
            <w:vAlign w:val="center"/>
          </w:tcPr>
          <w:p>
            <w:pPr>
              <w:jc w:val="center"/>
              <w:rPr>
                <w:rFonts w:hint="eastAsia"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38" w:type="dxa"/>
            <w:gridSpan w:val="4"/>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报名投标单位名称及盖章</w:t>
            </w:r>
          </w:p>
        </w:tc>
        <w:tc>
          <w:tcPr>
            <w:tcW w:w="10541" w:type="dxa"/>
            <w:gridSpan w:val="9"/>
            <w:vAlign w:val="center"/>
          </w:tcPr>
          <w:p>
            <w:pPr>
              <w:jc w:val="center"/>
              <w:rPr>
                <w:rFonts w:hint="eastAsia"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38" w:type="dxa"/>
            <w:gridSpan w:val="4"/>
            <w:vAlign w:val="center"/>
          </w:tcPr>
          <w:p>
            <w:pPr>
              <w:jc w:val="center"/>
              <w:rPr>
                <w:rFonts w:hint="eastAsia" w:asciiTheme="minorEastAsia" w:hAnsiTheme="minorEastAsia"/>
                <w:sz w:val="24"/>
                <w:szCs w:val="24"/>
              </w:rPr>
            </w:pPr>
            <w:r>
              <w:rPr>
                <w:rFonts w:hint="eastAsia"/>
                <w:sz w:val="24"/>
              </w:rPr>
              <w:t>报名投标单位联系人及联系电话</w:t>
            </w:r>
          </w:p>
        </w:tc>
        <w:tc>
          <w:tcPr>
            <w:tcW w:w="10541" w:type="dxa"/>
            <w:gridSpan w:val="9"/>
            <w:vAlign w:val="center"/>
          </w:tcPr>
          <w:p>
            <w:pPr>
              <w:jc w:val="center"/>
              <w:rPr>
                <w:rFonts w:hint="eastAsia"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738" w:type="dxa"/>
            <w:gridSpan w:val="4"/>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报名时间</w:t>
            </w:r>
          </w:p>
        </w:tc>
        <w:tc>
          <w:tcPr>
            <w:tcW w:w="10541" w:type="dxa"/>
            <w:gridSpan w:val="9"/>
            <w:vAlign w:val="center"/>
          </w:tcPr>
          <w:p>
            <w:pPr>
              <w:jc w:val="center"/>
              <w:rPr>
                <w:rFonts w:hint="eastAsia"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364" w:hRule="atLeast"/>
          <w:jc w:val="center"/>
        </w:trPr>
        <w:tc>
          <w:tcPr>
            <w:tcW w:w="771" w:type="dxa"/>
            <w:vAlign w:val="center"/>
          </w:tcPr>
          <w:p>
            <w:pPr>
              <w:ind w:left="0" w:leftChars="0" w:firstLine="0" w:firstLineChars="0"/>
              <w:jc w:val="both"/>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序号</w:t>
            </w:r>
          </w:p>
        </w:tc>
        <w:tc>
          <w:tcPr>
            <w:tcW w:w="1151" w:type="dxa"/>
            <w:vAlign w:val="center"/>
          </w:tcPr>
          <w:p>
            <w:pPr>
              <w:ind w:left="0" w:leftChars="0" w:firstLine="0" w:firstLineChars="0"/>
              <w:jc w:val="center"/>
              <w:rPr>
                <w:rFonts w:asciiTheme="minorEastAsia" w:hAnsiTheme="minorEastAsia"/>
                <w:sz w:val="24"/>
                <w:szCs w:val="24"/>
              </w:rPr>
            </w:pPr>
            <w:r>
              <w:rPr>
                <w:rFonts w:hint="eastAsia" w:asciiTheme="minorEastAsia" w:hAnsiTheme="minorEastAsia"/>
                <w:sz w:val="24"/>
                <w:szCs w:val="24"/>
              </w:rPr>
              <w:t>商品名称</w:t>
            </w:r>
          </w:p>
        </w:tc>
        <w:tc>
          <w:tcPr>
            <w:tcW w:w="1322" w:type="dxa"/>
            <w:vAlign w:val="center"/>
          </w:tcPr>
          <w:p>
            <w:pPr>
              <w:ind w:left="0" w:leftChars="0" w:firstLine="0" w:firstLineChars="0"/>
              <w:jc w:val="center"/>
              <w:rPr>
                <w:rFonts w:asciiTheme="minorEastAsia" w:hAnsiTheme="minorEastAsia"/>
                <w:sz w:val="24"/>
                <w:szCs w:val="24"/>
              </w:rPr>
            </w:pPr>
            <w:r>
              <w:rPr>
                <w:rFonts w:hint="eastAsia" w:asciiTheme="minorEastAsia" w:hAnsiTheme="minorEastAsia"/>
                <w:sz w:val="24"/>
                <w:szCs w:val="24"/>
                <w:lang w:val="en-US" w:eastAsia="zh-CN"/>
              </w:rPr>
              <w:t>生产厂商（</w:t>
            </w:r>
            <w:r>
              <w:rPr>
                <w:rFonts w:hint="eastAsia" w:asciiTheme="minorEastAsia" w:hAnsiTheme="minorEastAsia"/>
                <w:sz w:val="24"/>
                <w:szCs w:val="24"/>
              </w:rPr>
              <w:t>品牌</w:t>
            </w:r>
            <w:r>
              <w:rPr>
                <w:rFonts w:hint="eastAsia" w:asciiTheme="minorEastAsia" w:hAnsiTheme="minorEastAsia"/>
                <w:sz w:val="24"/>
                <w:szCs w:val="24"/>
                <w:lang w:val="en-US" w:eastAsia="zh-CN"/>
              </w:rPr>
              <w:t>）</w:t>
            </w:r>
          </w:p>
        </w:tc>
        <w:tc>
          <w:tcPr>
            <w:tcW w:w="1494" w:type="dxa"/>
            <w:vAlign w:val="center"/>
          </w:tcPr>
          <w:p>
            <w:pPr>
              <w:ind w:left="0" w:leftChars="0" w:firstLine="0" w:firstLineChars="0"/>
              <w:jc w:val="center"/>
              <w:rPr>
                <w:rFonts w:asciiTheme="minorEastAsia" w:hAnsiTheme="minorEastAsia"/>
                <w:sz w:val="24"/>
                <w:szCs w:val="24"/>
              </w:rPr>
            </w:pPr>
            <w:r>
              <w:rPr>
                <w:rFonts w:hint="eastAsia" w:asciiTheme="minorEastAsia" w:hAnsiTheme="minorEastAsia"/>
                <w:sz w:val="24"/>
                <w:szCs w:val="24"/>
              </w:rPr>
              <w:t>型号规格</w:t>
            </w:r>
          </w:p>
        </w:tc>
        <w:tc>
          <w:tcPr>
            <w:tcW w:w="2584" w:type="dxa"/>
            <w:vAlign w:val="center"/>
          </w:tcPr>
          <w:p>
            <w:pPr>
              <w:ind w:left="0" w:leftChars="0" w:firstLine="0" w:firstLineChars="0"/>
              <w:jc w:val="both"/>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设备配置及技术参数/服务内容响应（可附页）</w:t>
            </w:r>
          </w:p>
        </w:tc>
        <w:tc>
          <w:tcPr>
            <w:tcW w:w="1230" w:type="dxa"/>
            <w:vAlign w:val="center"/>
          </w:tcPr>
          <w:p>
            <w:pPr>
              <w:ind w:left="0" w:leftChars="0" w:firstLine="0" w:firstLineChars="0"/>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交货期</w:t>
            </w:r>
          </w:p>
        </w:tc>
        <w:tc>
          <w:tcPr>
            <w:tcW w:w="1092" w:type="dxa"/>
            <w:vAlign w:val="center"/>
          </w:tcPr>
          <w:p>
            <w:pPr>
              <w:ind w:left="0" w:leftChars="0" w:firstLine="0" w:firstLineChars="0"/>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质保期</w:t>
            </w:r>
          </w:p>
        </w:tc>
        <w:tc>
          <w:tcPr>
            <w:tcW w:w="999" w:type="dxa"/>
            <w:vAlign w:val="center"/>
          </w:tcPr>
          <w:p>
            <w:pPr>
              <w:ind w:left="0" w:leftChars="0" w:firstLine="0" w:firstLineChars="0"/>
              <w:jc w:val="center"/>
              <w:rPr>
                <w:rFonts w:asciiTheme="minorEastAsia" w:hAnsiTheme="minorEastAsia"/>
                <w:sz w:val="24"/>
                <w:szCs w:val="24"/>
              </w:rPr>
            </w:pPr>
            <w:r>
              <w:rPr>
                <w:rFonts w:hint="eastAsia" w:asciiTheme="minorEastAsia" w:hAnsiTheme="minorEastAsia"/>
                <w:sz w:val="24"/>
                <w:szCs w:val="24"/>
              </w:rPr>
              <w:t>数量</w:t>
            </w:r>
          </w:p>
        </w:tc>
        <w:tc>
          <w:tcPr>
            <w:tcW w:w="969" w:type="dxa"/>
            <w:vAlign w:val="center"/>
          </w:tcPr>
          <w:p>
            <w:pPr>
              <w:ind w:left="0" w:leftChars="0" w:firstLine="0" w:firstLineChars="0"/>
              <w:jc w:val="center"/>
              <w:rPr>
                <w:rFonts w:asciiTheme="minorEastAsia" w:hAnsiTheme="minorEastAsia"/>
                <w:sz w:val="24"/>
                <w:szCs w:val="24"/>
              </w:rPr>
            </w:pPr>
            <w:r>
              <w:rPr>
                <w:rFonts w:hint="eastAsia" w:asciiTheme="minorEastAsia" w:hAnsiTheme="minorEastAsia"/>
                <w:sz w:val="24"/>
                <w:szCs w:val="24"/>
              </w:rPr>
              <w:t>单位</w:t>
            </w:r>
          </w:p>
        </w:tc>
        <w:tc>
          <w:tcPr>
            <w:tcW w:w="1276" w:type="dxa"/>
            <w:vAlign w:val="center"/>
          </w:tcPr>
          <w:p>
            <w:pPr>
              <w:ind w:left="0" w:leftChars="0" w:firstLine="0" w:firstLineChars="0"/>
              <w:jc w:val="center"/>
              <w:rPr>
                <w:rFonts w:hint="eastAsia" w:asciiTheme="minorEastAsia" w:hAnsiTheme="minorEastAsia"/>
                <w:sz w:val="24"/>
                <w:szCs w:val="24"/>
              </w:rPr>
            </w:pPr>
            <w:r>
              <w:rPr>
                <w:rFonts w:hint="eastAsia" w:asciiTheme="minorEastAsia" w:hAnsiTheme="minorEastAsia"/>
                <w:sz w:val="24"/>
                <w:szCs w:val="24"/>
              </w:rPr>
              <w:t>单价（元）</w:t>
            </w:r>
          </w:p>
        </w:tc>
        <w:tc>
          <w:tcPr>
            <w:tcW w:w="1169" w:type="dxa"/>
            <w:vAlign w:val="center"/>
          </w:tcPr>
          <w:p>
            <w:pPr>
              <w:ind w:left="0" w:leftChars="0" w:firstLine="0" w:firstLineChars="0"/>
              <w:jc w:val="center"/>
              <w:rPr>
                <w:rFonts w:hint="eastAsia" w:asciiTheme="minorEastAsia" w:hAnsiTheme="minorEastAsia"/>
                <w:sz w:val="24"/>
                <w:szCs w:val="24"/>
              </w:rPr>
            </w:pPr>
            <w:r>
              <w:rPr>
                <w:rFonts w:hint="eastAsia" w:asciiTheme="minorEastAsia" w:hAnsiTheme="minorEastAsia"/>
                <w:sz w:val="24"/>
                <w:szCs w:val="24"/>
              </w:rPr>
              <w:t>总价（元）</w:t>
            </w:r>
          </w:p>
        </w:tc>
        <w:tc>
          <w:tcPr>
            <w:tcW w:w="1210" w:type="dxa"/>
            <w:vAlign w:val="center"/>
          </w:tcPr>
          <w:p>
            <w:pPr>
              <w:ind w:left="0" w:leftChars="0" w:firstLine="0" w:firstLineChars="0"/>
              <w:jc w:val="center"/>
              <w:rPr>
                <w:rFonts w:asciiTheme="minorEastAsia" w:hAnsiTheme="minorEastAsia"/>
                <w:sz w:val="24"/>
                <w:szCs w:val="24"/>
              </w:rPr>
            </w:pPr>
            <w:r>
              <w:rPr>
                <w:rFonts w:hint="eastAsia"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71" w:hRule="atLeast"/>
          <w:jc w:val="center"/>
        </w:trPr>
        <w:tc>
          <w:tcPr>
            <w:tcW w:w="771" w:type="dxa"/>
            <w:vAlign w:val="center"/>
          </w:tcPr>
          <w:p>
            <w:pPr>
              <w:ind w:left="0" w:leftChars="0" w:firstLine="0" w:firstLineChars="0"/>
              <w:jc w:val="both"/>
            </w:pPr>
          </w:p>
        </w:tc>
        <w:tc>
          <w:tcPr>
            <w:tcW w:w="1151" w:type="dxa"/>
            <w:vAlign w:val="center"/>
          </w:tcPr>
          <w:p>
            <w:pPr>
              <w:ind w:left="0" w:leftChars="0" w:firstLine="0" w:firstLineChars="0"/>
              <w:jc w:val="both"/>
            </w:pPr>
          </w:p>
        </w:tc>
        <w:tc>
          <w:tcPr>
            <w:tcW w:w="1322" w:type="dxa"/>
            <w:vAlign w:val="center"/>
          </w:tcPr>
          <w:p>
            <w:pPr>
              <w:ind w:left="0" w:leftChars="0" w:firstLine="0" w:firstLineChars="0"/>
              <w:jc w:val="both"/>
            </w:pPr>
          </w:p>
        </w:tc>
        <w:tc>
          <w:tcPr>
            <w:tcW w:w="1494" w:type="dxa"/>
            <w:vAlign w:val="center"/>
          </w:tcPr>
          <w:p>
            <w:pPr>
              <w:ind w:left="0" w:leftChars="0" w:firstLine="0" w:firstLineChars="0"/>
              <w:jc w:val="both"/>
            </w:pPr>
          </w:p>
        </w:tc>
        <w:tc>
          <w:tcPr>
            <w:tcW w:w="2584" w:type="dxa"/>
            <w:vAlign w:val="center"/>
          </w:tcPr>
          <w:p>
            <w:pPr>
              <w:ind w:left="0" w:leftChars="0" w:firstLine="0" w:firstLineChars="0"/>
              <w:jc w:val="both"/>
            </w:pPr>
          </w:p>
        </w:tc>
        <w:tc>
          <w:tcPr>
            <w:tcW w:w="1230" w:type="dxa"/>
            <w:vAlign w:val="center"/>
          </w:tcPr>
          <w:p>
            <w:pPr>
              <w:ind w:left="0" w:leftChars="0" w:firstLine="0" w:firstLineChars="0"/>
              <w:jc w:val="both"/>
            </w:pPr>
          </w:p>
        </w:tc>
        <w:tc>
          <w:tcPr>
            <w:tcW w:w="1092" w:type="dxa"/>
            <w:vAlign w:val="center"/>
          </w:tcPr>
          <w:p>
            <w:pPr>
              <w:ind w:left="0" w:leftChars="0" w:firstLine="0" w:firstLineChars="0"/>
              <w:jc w:val="both"/>
            </w:pPr>
          </w:p>
        </w:tc>
        <w:tc>
          <w:tcPr>
            <w:tcW w:w="999" w:type="dxa"/>
            <w:vAlign w:val="center"/>
          </w:tcPr>
          <w:p>
            <w:pPr>
              <w:ind w:left="0" w:leftChars="0" w:firstLine="0" w:firstLineChars="0"/>
              <w:jc w:val="both"/>
            </w:pPr>
          </w:p>
        </w:tc>
        <w:tc>
          <w:tcPr>
            <w:tcW w:w="969" w:type="dxa"/>
            <w:vAlign w:val="center"/>
          </w:tcPr>
          <w:p>
            <w:pPr>
              <w:ind w:left="0" w:leftChars="0" w:firstLine="0" w:firstLineChars="0"/>
              <w:jc w:val="both"/>
            </w:pPr>
          </w:p>
        </w:tc>
        <w:tc>
          <w:tcPr>
            <w:tcW w:w="1276" w:type="dxa"/>
            <w:vAlign w:val="center"/>
          </w:tcPr>
          <w:p>
            <w:pPr>
              <w:ind w:left="0" w:leftChars="0" w:firstLine="0" w:firstLineChars="0"/>
              <w:jc w:val="both"/>
            </w:pPr>
          </w:p>
        </w:tc>
        <w:tc>
          <w:tcPr>
            <w:tcW w:w="1169" w:type="dxa"/>
            <w:vAlign w:val="center"/>
          </w:tcPr>
          <w:p>
            <w:pPr>
              <w:ind w:left="0" w:leftChars="0" w:firstLine="0" w:firstLineChars="0"/>
              <w:jc w:val="both"/>
            </w:pPr>
          </w:p>
        </w:tc>
        <w:tc>
          <w:tcPr>
            <w:tcW w:w="1210" w:type="dxa"/>
            <w:vAlign w:val="center"/>
          </w:tcPr>
          <w:p>
            <w:pPr>
              <w:ind w:left="0" w:leftChars="0" w:firstLine="0" w:firstLineChars="0"/>
              <w:jc w:val="both"/>
            </w:pPr>
          </w:p>
        </w:tc>
      </w:tr>
    </w:tbl>
    <w:p>
      <w:pPr>
        <w:ind w:left="0" w:leftChars="0" w:firstLine="0" w:firstLineChars="0"/>
        <w:rPr>
          <w:rFonts w:hint="eastAsia"/>
          <w:w w:val="95"/>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供应商资格要求</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r>
        <w:rPr>
          <w:rFonts w:hint="eastAsia" w:asciiTheme="majorEastAsia" w:hAnsiTheme="majorEastAsia" w:eastAsiaTheme="majorEastAsia" w:cstheme="majorEastAsia"/>
          <w:b/>
          <w:bCs/>
          <w:sz w:val="21"/>
          <w:szCs w:val="21"/>
          <w:lang w:val="en-US" w:eastAsia="zh-CN"/>
        </w:rPr>
        <w:t>一、</w:t>
      </w:r>
      <w:r>
        <w:rPr>
          <w:rFonts w:hint="eastAsia"/>
          <w:lang w:val="en-US" w:eastAsia="zh-CN"/>
        </w:rPr>
        <w:t>满足《中国人民共和国政府采购法》第二十二条规定。</w:t>
      </w:r>
    </w:p>
    <w:p>
      <w:pPr>
        <w:numPr>
          <w:ilvl w:val="0"/>
          <w:numId w:val="0"/>
        </w:numPr>
        <w:rPr>
          <w:rFonts w:hint="eastAsia"/>
          <w:lang w:val="en-US" w:eastAsia="zh-CN"/>
        </w:rPr>
      </w:pPr>
      <w:r>
        <w:rPr>
          <w:rFonts w:hint="eastAsia"/>
          <w:lang w:val="en-US" w:eastAsia="zh-CN"/>
        </w:rPr>
        <w:t>1、具有独立承担民事责任的能力；</w:t>
      </w:r>
      <w:bookmarkStart w:id="3" w:name="_GoBack"/>
      <w:bookmarkEnd w:id="3"/>
    </w:p>
    <w:p>
      <w:pPr>
        <w:numPr>
          <w:ilvl w:val="0"/>
          <w:numId w:val="0"/>
        </w:numPr>
        <w:rPr>
          <w:rFonts w:hint="eastAsia"/>
          <w:lang w:val="en-US" w:eastAsia="zh-CN"/>
        </w:rPr>
      </w:pPr>
      <w:r>
        <w:rPr>
          <w:rFonts w:hint="eastAsia"/>
          <w:lang w:val="en-US" w:eastAsia="zh-CN"/>
        </w:rPr>
        <w:t>2、具有良好的商业信誉和健全的财务会计制度；</w:t>
      </w:r>
    </w:p>
    <w:p>
      <w:pPr>
        <w:numPr>
          <w:ilvl w:val="0"/>
          <w:numId w:val="0"/>
        </w:numPr>
        <w:rPr>
          <w:rFonts w:hint="default"/>
          <w:lang w:val="en-US" w:eastAsia="zh-CN"/>
        </w:rPr>
      </w:pPr>
      <w:r>
        <w:rPr>
          <w:rFonts w:hint="eastAsia"/>
          <w:lang w:val="en-US" w:eastAsia="zh-CN"/>
        </w:rPr>
        <w:t>3、具有履行合同所必需的设备和专业技术能力；</w:t>
      </w:r>
    </w:p>
    <w:p>
      <w:pPr>
        <w:numPr>
          <w:ilvl w:val="0"/>
          <w:numId w:val="0"/>
        </w:numPr>
        <w:rPr>
          <w:rFonts w:hint="eastAsia"/>
          <w:lang w:val="en-US" w:eastAsia="zh-CN"/>
        </w:rPr>
      </w:pPr>
      <w:r>
        <w:rPr>
          <w:rFonts w:hint="eastAsia"/>
          <w:lang w:val="en-US" w:eastAsia="zh-CN"/>
        </w:rPr>
        <w:t>4、有依法缴纳税收和社会保障资金的良好记录；</w:t>
      </w:r>
    </w:p>
    <w:p>
      <w:pPr>
        <w:numPr>
          <w:ilvl w:val="0"/>
          <w:numId w:val="0"/>
        </w:numPr>
        <w:rPr>
          <w:rFonts w:hint="default"/>
          <w:lang w:val="en-US" w:eastAsia="zh-CN"/>
        </w:rPr>
      </w:pPr>
      <w:r>
        <w:rPr>
          <w:rFonts w:hint="eastAsia"/>
          <w:lang w:val="en-US" w:eastAsia="zh-CN"/>
        </w:rPr>
        <w:t>5、法律、行政法规规定的其他条件。</w:t>
      </w:r>
    </w:p>
    <w:p>
      <w:pPr>
        <w:numPr>
          <w:ilvl w:val="0"/>
          <w:numId w:val="0"/>
        </w:numPr>
        <w:rPr>
          <w:rFonts w:hint="default"/>
          <w:lang w:val="en-US" w:eastAsia="zh-CN"/>
        </w:rPr>
      </w:pPr>
      <w:r>
        <w:rPr>
          <w:rFonts w:hint="eastAsia"/>
          <w:lang w:val="en-US" w:eastAsia="zh-CN"/>
        </w:rPr>
        <w:t>二、未被“信用中国”（www.creditchina.gov.cn）、中国政府采购网（www.ccgp.gov.cn）列入失信被执行人、重大税收违法案件当事人名单、政府采购严重违法失信行为记录名单。</w:t>
      </w:r>
    </w:p>
    <w:p>
      <w:pPr>
        <w:tabs>
          <w:tab w:val="left" w:pos="3240"/>
          <w:tab w:val="center" w:pos="6500"/>
        </w:tabs>
        <w:spacing w:after="156" w:afterLines="50"/>
        <w:ind w:right="958"/>
        <w:jc w:val="left"/>
        <w:rPr>
          <w:rFonts w:hint="default" w:asciiTheme="minorEastAsia" w:hAnsiTheme="minorEastAsia"/>
          <w:sz w:val="24"/>
          <w:szCs w:val="24"/>
          <w:lang w:val="en-US" w:eastAsia="zh-CN"/>
        </w:rPr>
      </w:pPr>
    </w:p>
    <w:p/>
    <w:sectPr>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rPr>
    </w:pPr>
  </w:p>
  <w:p>
    <w:pPr>
      <w:pStyle w:val="4"/>
      <w:jc w:val="right"/>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rPr>
    </w:pPr>
  </w:p>
  <w:p>
    <w:pPr>
      <w:pStyle w:val="4"/>
      <w:jc w:val="right"/>
      <w:rPr>
        <w:rFonts w:hint="eastAsia"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COB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z7nzAlLN37+8f388/f51zf2&#10;Iu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FWgjgbjAQAAzQMAAA4A&#10;AAAAAAAAAQAgAAAAHgEAAGRycy9lMm9Eb2MueG1sUEsFBgAAAAAGAAYAWQEAAHMFAAAAAA==&#10;">
              <v:fill on="f" focussize="0,0"/>
              <v:stroke on="f"/>
              <v:imagedata o:title=""/>
              <o:lock v:ext="edit" aspectratio="f"/>
              <v:textbox inset="0mm,0mm,0mm,0mm" style="mso-fit-shape-to-text:t;">
                <w:txbxContent>
                  <w:p>
                    <w:pPr>
                      <w:pStyle w:val="5"/>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center" w:pos="421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jc w:val="both"/>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9e+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77gzAlLN37+8f388/f51zf2&#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fPXvrjAQAAzQMAAA4A&#10;AAAAAAAAAQAgAAAAHgEAAGRycy9lMm9Eb2MueG1sUEsFBgAAAAAGAAYAWQEAAHMFAAAAAA==&#10;">
              <v:fill on="f" focussize="0,0"/>
              <v:stroke on="f"/>
              <v:imagedata o:title=""/>
              <o:lock v:ext="edit" aspectratio="f"/>
              <v:textbox inset="0mm,0mm,0mm,0mm" style="mso-fit-shape-to-text:t;">
                <w:txbxContent>
                  <w:p>
                    <w:pPr>
                      <w:pStyle w:val="5"/>
                      <w:jc w:val="both"/>
                    </w:pPr>
                  </w:p>
                </w:txbxContent>
              </v:textbox>
            </v:shape>
          </w:pict>
        </mc:Fallback>
      </mc:AlternateConten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D46F93"/>
    <w:multiLevelType w:val="singleLevel"/>
    <w:tmpl w:val="6CD46F9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3A61038C"/>
    <w:rsid w:val="01D0562F"/>
    <w:rsid w:val="12860CBB"/>
    <w:rsid w:val="3A610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240" w:lineRule="auto"/>
    </w:pPr>
    <w:rPr>
      <w:kern w:val="2"/>
      <w:szCs w:val="20"/>
    </w:rPr>
  </w:style>
  <w:style w:type="paragraph" w:styleId="3">
    <w:name w:val="Plain Text"/>
    <w:basedOn w:val="1"/>
    <w:qFormat/>
    <w:uiPriority w:val="0"/>
    <w:pPr>
      <w:spacing w:beforeLines="50" w:afterLines="50" w:line="400" w:lineRule="exact"/>
    </w:pPr>
    <w:rPr>
      <w:rFonts w:ascii="宋体" w:hAnsi="Courier New"/>
      <w:sz w:val="24"/>
    </w:rPr>
  </w:style>
  <w:style w:type="paragraph" w:styleId="4">
    <w:name w:val="footer"/>
    <w:basedOn w:val="1"/>
    <w:qFormat/>
    <w:uiPriority w:val="99"/>
    <w:pPr>
      <w:tabs>
        <w:tab w:val="center" w:pos="4153"/>
        <w:tab w:val="right" w:pos="8306"/>
      </w:tabs>
      <w:snapToGrid w:val="0"/>
      <w:spacing w:line="240" w:lineRule="auto"/>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7">
    <w:name w:val="Table Grid"/>
    <w:basedOn w:val="6"/>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917</Words>
  <Characters>1021</Characters>
  <Lines>0</Lines>
  <Paragraphs>0</Paragraphs>
  <TotalTime>1</TotalTime>
  <ScaleCrop>false</ScaleCrop>
  <LinksUpToDate>false</LinksUpToDate>
  <CharactersWithSpaces>1029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2024-07-29T01:03:00Z</dcterms:created>
  <dc:creator>Admin-c105</dc:creator>
  <cp:lastModifiedBy>余佳晨</cp:lastModifiedBy>
  <dcterms:modified xsi:type="dcterms:W3CDTF">2024-08-01T04:03:47Z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639937C6DD754FA69BBF1373481D8724_11</vt:lpwstr>
  </property>
</Properties>
</file>