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68"/>
          <w:szCs w:val="68"/>
        </w:rPr>
      </w:pPr>
    </w:p>
    <w:p>
      <w:pPr>
        <w:jc w:val="center"/>
        <w:rPr>
          <w:rFonts w:ascii="黑体" w:hAnsi="黑体" w:eastAsia="黑体"/>
          <w:b/>
          <w:sz w:val="64"/>
          <w:szCs w:val="64"/>
        </w:rPr>
      </w:pPr>
      <w:r>
        <w:rPr>
          <w:rFonts w:hint="eastAsia" w:ascii="黑体" w:hAnsi="黑体" w:eastAsia="黑体"/>
          <w:b/>
          <w:sz w:val="64"/>
          <w:szCs w:val="64"/>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b/>
          <w:sz w:val="72"/>
          <w:szCs w:val="72"/>
        </w:rPr>
      </w:pPr>
    </w:p>
    <w:p>
      <w:pPr>
        <w:jc w:val="center"/>
        <w:rPr>
          <w:b/>
          <w:sz w:val="72"/>
          <w:szCs w:val="72"/>
        </w:rPr>
      </w:pPr>
    </w:p>
    <w:p>
      <w:pPr>
        <w:jc w:val="center"/>
        <w:rPr>
          <w:b/>
          <w:sz w:val="72"/>
          <w:szCs w:val="72"/>
        </w:rPr>
      </w:pPr>
    </w:p>
    <w:p>
      <w:pPr>
        <w:snapToGrid w:val="0"/>
        <w:rPr>
          <w:b/>
          <w:sz w:val="28"/>
          <w:szCs w:val="28"/>
          <w:highlight w:val="none"/>
        </w:rPr>
      </w:pPr>
    </w:p>
    <w:p>
      <w:pPr>
        <w:pStyle w:val="9"/>
        <w:snapToGrid w:val="0"/>
        <w:spacing w:before="156" w:after="156" w:line="360" w:lineRule="auto"/>
        <w:ind w:firstLine="0"/>
        <w:jc w:val="center"/>
        <w:rPr>
          <w:rFonts w:ascii="Times New Roman" w:hAnsi="Times New Roman"/>
          <w:b/>
          <w:sz w:val="32"/>
          <w:szCs w:val="32"/>
          <w:highlight w:val="none"/>
        </w:rPr>
      </w:pPr>
      <w:r>
        <w:rPr>
          <w:rFonts w:ascii="Times New Roman" w:hAnsi="Times New Roman"/>
          <w:b/>
          <w:sz w:val="32"/>
          <w:szCs w:val="32"/>
          <w:highlight w:val="none"/>
        </w:rPr>
        <w:t>项目名称：</w:t>
      </w:r>
      <w:r>
        <w:rPr>
          <w:rFonts w:hint="eastAsia" w:ascii="Times New Roman" w:hAnsi="Times New Roman"/>
          <w:b/>
          <w:sz w:val="32"/>
          <w:szCs w:val="32"/>
          <w:highlight w:val="none"/>
        </w:rPr>
        <w:t>加厚P</w:t>
      </w:r>
      <w:r>
        <w:rPr>
          <w:rFonts w:ascii="Times New Roman" w:hAnsi="Times New Roman"/>
          <w:b/>
          <w:sz w:val="32"/>
          <w:szCs w:val="32"/>
          <w:highlight w:val="none"/>
        </w:rPr>
        <w:t>E</w:t>
      </w:r>
      <w:r>
        <w:rPr>
          <w:rFonts w:hint="eastAsia" w:ascii="Times New Roman" w:hAnsi="Times New Roman"/>
          <w:b/>
          <w:sz w:val="32"/>
          <w:szCs w:val="32"/>
          <w:highlight w:val="none"/>
        </w:rPr>
        <w:t>隔膜</w:t>
      </w:r>
    </w:p>
    <w:p>
      <w:pPr>
        <w:pStyle w:val="9"/>
        <w:snapToGrid w:val="0"/>
        <w:spacing w:before="156" w:after="156" w:line="360" w:lineRule="auto"/>
        <w:ind w:firstLine="0"/>
        <w:jc w:val="center"/>
        <w:rPr>
          <w:rFonts w:hint="eastAsia" w:ascii="Times New Roman" w:hAnsi="Times New Roman" w:eastAsia="宋体"/>
          <w:b/>
          <w:sz w:val="32"/>
          <w:szCs w:val="32"/>
          <w:highlight w:val="none"/>
          <w:lang w:eastAsia="zh-CN"/>
        </w:rPr>
      </w:pPr>
      <w:r>
        <w:rPr>
          <w:rFonts w:hint="eastAsia" w:ascii="Times New Roman" w:hAnsi="Times New Roman"/>
          <w:b/>
          <w:sz w:val="32"/>
          <w:szCs w:val="32"/>
          <w:highlight w:val="none"/>
        </w:rPr>
        <w:t>项目编号：ZDWYY-XJ-202400</w:t>
      </w:r>
      <w:r>
        <w:rPr>
          <w:rFonts w:hint="eastAsia" w:ascii="Times New Roman" w:hAnsi="Times New Roman"/>
          <w:b/>
          <w:sz w:val="32"/>
          <w:szCs w:val="32"/>
          <w:highlight w:val="none"/>
          <w:lang w:val="en-US" w:eastAsia="zh-CN"/>
        </w:rPr>
        <w:t>3</w:t>
      </w: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widowControl/>
        <w:autoSpaceDE w:val="0"/>
        <w:autoSpaceDN w:val="0"/>
        <w:spacing w:line="240" w:lineRule="auto"/>
        <w:jc w:val="center"/>
        <w:textAlignment w:val="bottom"/>
        <w:rPr>
          <w:b/>
          <w:bCs/>
          <w:w w:val="95"/>
          <w:sz w:val="32"/>
          <w:szCs w:val="32"/>
          <w:highlight w:val="none"/>
        </w:rPr>
      </w:pPr>
      <w:r>
        <w:rPr>
          <w:rFonts w:hint="eastAsia"/>
          <w:b/>
          <w:bCs/>
          <w:w w:val="95"/>
          <w:sz w:val="32"/>
          <w:szCs w:val="32"/>
          <w:highlight w:val="none"/>
        </w:rPr>
        <w:t>浙江大学温州研究院</w:t>
      </w:r>
    </w:p>
    <w:p>
      <w:pPr>
        <w:spacing w:line="440" w:lineRule="exact"/>
        <w:ind w:firstLine="0"/>
        <w:jc w:val="center"/>
        <w:rPr>
          <w:rFonts w:hint="default" w:ascii="宋体" w:hAnsi="宋体" w:eastAsia="宋体"/>
          <w:b/>
          <w:szCs w:val="32"/>
          <w:highlight w:val="none"/>
          <w:lang w:val="en-US"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highlight w:val="none"/>
        </w:rPr>
        <w:t>2024年</w:t>
      </w:r>
      <w:r>
        <w:rPr>
          <w:b/>
          <w:bCs/>
          <w:w w:val="95"/>
          <w:sz w:val="32"/>
          <w:szCs w:val="32"/>
          <w:highlight w:val="none"/>
        </w:rPr>
        <w:t>3</w:t>
      </w:r>
      <w:r>
        <w:rPr>
          <w:rFonts w:hint="eastAsia"/>
          <w:b/>
          <w:bCs/>
          <w:w w:val="95"/>
          <w:sz w:val="32"/>
          <w:szCs w:val="32"/>
          <w:highlight w:val="none"/>
        </w:rPr>
        <w:t>月</w:t>
      </w:r>
      <w:r>
        <w:rPr>
          <w:rFonts w:hint="eastAsia"/>
          <w:b/>
          <w:bCs/>
          <w:w w:val="95"/>
          <w:sz w:val="32"/>
          <w:szCs w:val="32"/>
          <w:highlight w:val="none"/>
          <w:lang w:val="en-US" w:eastAsia="zh-CN"/>
        </w:rPr>
        <w:t>22日</w:t>
      </w:r>
    </w:p>
    <w:p>
      <w:pPr>
        <w:widowControl/>
        <w:spacing w:before="199" w:after="450" w:line="450" w:lineRule="atLeast"/>
        <w:ind w:firstLine="0"/>
        <w:jc w:val="left"/>
        <w:outlineLvl w:val="1"/>
        <w:rPr>
          <w:rFonts w:ascii="微软雅黑" w:hAnsi="微软雅黑" w:eastAsia="微软雅黑" w:cs="宋体"/>
          <w:b/>
          <w:bCs/>
          <w:sz w:val="36"/>
          <w:szCs w:val="36"/>
          <w:highlight w:val="none"/>
        </w:rPr>
      </w:pPr>
      <w:r>
        <w:rPr>
          <w:rFonts w:hint="eastAsia" w:ascii="微软雅黑" w:hAnsi="微软雅黑" w:eastAsia="微软雅黑" w:cs="宋体"/>
          <w:b/>
          <w:bCs/>
          <w:sz w:val="36"/>
          <w:szCs w:val="36"/>
          <w:highlight w:val="none"/>
        </w:rPr>
        <w:t>一、采购需求</w:t>
      </w:r>
    </w:p>
    <w:p>
      <w:pPr>
        <w:numPr>
          <w:ilvl w:val="0"/>
          <w:numId w:val="1"/>
        </w:numPr>
        <w:ind w:firstLine="0"/>
        <w:rPr>
          <w:b/>
          <w:bCs/>
          <w:szCs w:val="21"/>
          <w:highlight w:val="none"/>
        </w:rPr>
      </w:pPr>
      <w:r>
        <w:rPr>
          <w:rFonts w:hint="eastAsia"/>
          <w:b/>
          <w:bCs/>
          <w:szCs w:val="21"/>
          <w:highlight w:val="none"/>
        </w:rPr>
        <w:t>采购物资：加厚P</w:t>
      </w:r>
      <w:r>
        <w:rPr>
          <w:b/>
          <w:bCs/>
          <w:szCs w:val="21"/>
          <w:highlight w:val="none"/>
        </w:rPr>
        <w:t>E</w:t>
      </w:r>
      <w:r>
        <w:rPr>
          <w:rFonts w:hint="eastAsia"/>
          <w:b/>
          <w:bCs/>
          <w:szCs w:val="21"/>
          <w:highlight w:val="none"/>
        </w:rPr>
        <w:t>隔膜采购；采购数量：1批；总预算：</w:t>
      </w:r>
      <w:r>
        <w:rPr>
          <w:b/>
          <w:bCs/>
          <w:szCs w:val="21"/>
          <w:highlight w:val="none"/>
        </w:rPr>
        <w:t>83200</w:t>
      </w:r>
      <w:r>
        <w:rPr>
          <w:rFonts w:hint="eastAsia"/>
          <w:b/>
          <w:bCs/>
          <w:szCs w:val="21"/>
          <w:highlight w:val="none"/>
        </w:rPr>
        <w:t>元。</w:t>
      </w:r>
    </w:p>
    <w:p>
      <w:pPr>
        <w:numPr>
          <w:ilvl w:val="0"/>
          <w:numId w:val="1"/>
        </w:numPr>
        <w:ind w:firstLine="0"/>
        <w:rPr>
          <w:b/>
          <w:bCs/>
          <w:szCs w:val="21"/>
          <w:highlight w:val="none"/>
        </w:rPr>
      </w:pPr>
      <w:r>
        <w:rPr>
          <w:rFonts w:hint="eastAsia"/>
          <w:b/>
          <w:bCs/>
          <w:szCs w:val="21"/>
          <w:highlight w:val="none"/>
        </w:rPr>
        <w:t>规格参数（对规格参数有任何疑问，请联系项目组老师孙磊磊，联系方式</w:t>
      </w:r>
      <w:r>
        <w:rPr>
          <w:b/>
          <w:bCs/>
          <w:szCs w:val="21"/>
          <w:highlight w:val="none"/>
        </w:rPr>
        <w:t>18804318190</w:t>
      </w:r>
      <w:r>
        <w:rPr>
          <w:rFonts w:hint="eastAsia"/>
          <w:b/>
          <w:bCs/>
          <w:szCs w:val="21"/>
          <w:highlight w:val="none"/>
        </w:rPr>
        <w:t>）</w:t>
      </w:r>
    </w:p>
    <w:tbl>
      <w:tblPr>
        <w:tblStyle w:val="13"/>
        <w:tblW w:w="10977" w:type="dxa"/>
        <w:tblInd w:w="-1198" w:type="dxa"/>
        <w:tblLayout w:type="fixed"/>
        <w:tblCellMar>
          <w:top w:w="0" w:type="dxa"/>
          <w:left w:w="108" w:type="dxa"/>
          <w:bottom w:w="0" w:type="dxa"/>
          <w:right w:w="108" w:type="dxa"/>
        </w:tblCellMar>
      </w:tblPr>
      <w:tblGrid>
        <w:gridCol w:w="465"/>
        <w:gridCol w:w="1036"/>
        <w:gridCol w:w="4176"/>
        <w:gridCol w:w="451"/>
        <w:gridCol w:w="390"/>
        <w:gridCol w:w="630"/>
        <w:gridCol w:w="711"/>
        <w:gridCol w:w="2468"/>
        <w:gridCol w:w="650"/>
      </w:tblGrid>
      <w:tr>
        <w:tblPrEx>
          <w:tblCellMar>
            <w:top w:w="0" w:type="dxa"/>
            <w:left w:w="108" w:type="dxa"/>
            <w:bottom w:w="0" w:type="dxa"/>
            <w:right w:w="108" w:type="dxa"/>
          </w:tblCellMar>
        </w:tblPrEx>
        <w:trPr>
          <w:trHeight w:val="64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序号</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商品名称</w:t>
            </w:r>
          </w:p>
        </w:tc>
        <w:tc>
          <w:tcPr>
            <w:tcW w:w="417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技术参数</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数量</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单位</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最高单价</w:t>
            </w:r>
          </w:p>
        </w:tc>
        <w:tc>
          <w:tcPr>
            <w:tcW w:w="711"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总价</w:t>
            </w:r>
          </w:p>
        </w:tc>
        <w:tc>
          <w:tcPr>
            <w:tcW w:w="246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图片</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highlight w:val="none"/>
              </w:rPr>
            </w:pPr>
            <w:r>
              <w:rPr>
                <w:rFonts w:hint="eastAsia" w:ascii="宋体" w:hAnsi="宋体" w:cs="宋体"/>
                <w:b/>
                <w:bCs/>
                <w:color w:val="000000"/>
                <w:sz w:val="18"/>
                <w:szCs w:val="18"/>
                <w:highlight w:val="none"/>
              </w:rPr>
              <w:t>备注</w:t>
            </w:r>
          </w:p>
        </w:tc>
      </w:tr>
      <w:tr>
        <w:tblPrEx>
          <w:tblCellMar>
            <w:top w:w="0" w:type="dxa"/>
            <w:left w:w="108" w:type="dxa"/>
            <w:bottom w:w="0" w:type="dxa"/>
            <w:right w:w="108" w:type="dxa"/>
          </w:tblCellMar>
        </w:tblPrEx>
        <w:trPr>
          <w:trHeight w:val="1186"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highlight w:val="none"/>
              </w:rPr>
            </w:pPr>
            <w:r>
              <w:rPr>
                <w:rFonts w:hint="eastAsia" w:ascii="宋体" w:hAnsi="宋体" w:cs="宋体"/>
                <w:color w:val="000000"/>
                <w:sz w:val="18"/>
                <w:szCs w:val="18"/>
                <w:highlight w:val="none"/>
                <w:lang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加厚P</w:t>
            </w:r>
            <w:r>
              <w:rPr>
                <w:rFonts w:ascii="宋体" w:hAnsi="宋体" w:cs="宋体"/>
                <w:color w:val="000000"/>
                <w:sz w:val="18"/>
                <w:szCs w:val="18"/>
                <w:highlight w:val="none"/>
              </w:rPr>
              <w:t>E</w:t>
            </w:r>
            <w:r>
              <w:rPr>
                <w:rFonts w:hint="eastAsia" w:ascii="宋体" w:hAnsi="宋体" w:cs="宋体"/>
                <w:color w:val="000000"/>
                <w:sz w:val="18"/>
                <w:szCs w:val="18"/>
                <w:highlight w:val="none"/>
              </w:rPr>
              <w:t>隔膜</w:t>
            </w:r>
          </w:p>
        </w:tc>
        <w:tc>
          <w:tcPr>
            <w:tcW w:w="4176" w:type="dxa"/>
            <w:tcBorders>
              <w:top w:val="single" w:color="000000" w:sz="4" w:space="0"/>
              <w:left w:val="single" w:color="000000" w:sz="4" w:space="0"/>
              <w:bottom w:val="single" w:color="000000" w:sz="4" w:space="0"/>
              <w:right w:val="single" w:color="000000" w:sz="4" w:space="0"/>
            </w:tcBorders>
            <w:vAlign w:val="center"/>
          </w:tcPr>
          <w:p>
            <w:pPr>
              <w:pStyle w:val="12"/>
              <w:shd w:val="clear" w:color="auto" w:fill="FFFFFF"/>
              <w:spacing w:before="0" w:beforeAutospacing="0" w:after="0" w:afterAutospacing="0"/>
              <w:rPr>
                <w:rFonts w:ascii="Arial" w:hAnsi="Arial" w:cs="Arial"/>
                <w:color w:val="7C7070"/>
                <w:sz w:val="21"/>
                <w:szCs w:val="21"/>
                <w:highlight w:val="none"/>
              </w:rPr>
            </w:pPr>
            <w:r>
              <w:rPr>
                <w:rFonts w:ascii="Arial" w:hAnsi="Arial" w:cs="Arial"/>
                <w:color w:val="7C7070"/>
                <w:sz w:val="21"/>
                <w:szCs w:val="21"/>
                <w:highlight w:val="none"/>
              </w:rPr>
              <w:t>指标1、孔径</w:t>
            </w:r>
            <w:r>
              <w:rPr>
                <w:rFonts w:hint="eastAsia" w:ascii="Arial" w:hAnsi="Arial" w:cs="Arial"/>
                <w:color w:val="7C7070"/>
                <w:sz w:val="21"/>
                <w:szCs w:val="21"/>
                <w:highlight w:val="none"/>
                <w:lang w:val="en-US" w:eastAsia="zh-CN"/>
              </w:rPr>
              <w:t xml:space="preserve"> </w:t>
            </w:r>
            <w:r>
              <w:rPr>
                <w:rFonts w:ascii="Arial" w:hAnsi="Arial" w:cs="Arial"/>
                <w:color w:val="7C7070"/>
                <w:sz w:val="21"/>
                <w:szCs w:val="21"/>
                <w:highlight w:val="none"/>
              </w:rPr>
              <w:t>&lt;10nm</w:t>
            </w:r>
          </w:p>
          <w:p>
            <w:pPr>
              <w:pStyle w:val="12"/>
              <w:shd w:val="clear" w:color="auto" w:fill="FFFFFF"/>
              <w:spacing w:before="0" w:beforeAutospacing="0" w:after="0" w:afterAutospacing="0"/>
              <w:rPr>
                <w:rFonts w:ascii="Arial" w:hAnsi="Arial" w:cs="Arial"/>
                <w:color w:val="7C7070"/>
                <w:sz w:val="21"/>
                <w:szCs w:val="21"/>
                <w:highlight w:val="none"/>
              </w:rPr>
            </w:pPr>
          </w:p>
          <w:p>
            <w:pPr>
              <w:pStyle w:val="12"/>
              <w:shd w:val="clear" w:color="auto" w:fill="FFFFFF"/>
              <w:spacing w:before="0" w:beforeAutospacing="0" w:after="0" w:afterAutospacing="0"/>
              <w:rPr>
                <w:rFonts w:ascii="Arial" w:hAnsi="Arial" w:cs="Arial"/>
                <w:color w:val="7C7070"/>
                <w:sz w:val="21"/>
                <w:szCs w:val="21"/>
                <w:highlight w:val="none"/>
              </w:rPr>
            </w:pPr>
            <w:r>
              <w:rPr>
                <w:rFonts w:ascii="Arial" w:hAnsi="Arial" w:cs="Arial"/>
                <w:color w:val="7C7070"/>
                <w:sz w:val="21"/>
                <w:szCs w:val="21"/>
                <w:highlight w:val="none"/>
              </w:rPr>
              <w:t>指标2、压汞法孔径 30nm±5nm</w:t>
            </w:r>
            <w:r>
              <w:rPr>
                <w:rFonts w:hint="eastAsia" w:ascii="Arial" w:hAnsi="Arial" w:cs="Arial"/>
                <w:color w:val="7C7070"/>
                <w:sz w:val="21"/>
                <w:szCs w:val="21"/>
                <w:highlight w:val="none"/>
                <w:lang w:val="en-US" w:eastAsia="zh-CN"/>
              </w:rPr>
              <w:t xml:space="preserve"> </w:t>
            </w:r>
            <w:r>
              <w:rPr>
                <w:rFonts w:ascii="Arial" w:hAnsi="Arial" w:cs="Arial"/>
                <w:color w:val="7C7070"/>
                <w:sz w:val="21"/>
                <w:szCs w:val="21"/>
                <w:highlight w:val="none"/>
              </w:rPr>
              <w:t>大孔，盲孔（1-800μm）占比 &lt;2%</w:t>
            </w:r>
          </w:p>
          <w:p>
            <w:pPr>
              <w:pStyle w:val="12"/>
              <w:shd w:val="clear" w:color="auto" w:fill="FFFFFF"/>
              <w:spacing w:before="0" w:beforeAutospacing="0" w:after="0" w:afterAutospacing="0"/>
              <w:rPr>
                <w:rFonts w:ascii="Arial" w:hAnsi="Arial" w:cs="Arial"/>
                <w:color w:val="7C7070"/>
                <w:sz w:val="21"/>
                <w:szCs w:val="21"/>
                <w:highlight w:val="none"/>
              </w:rPr>
            </w:pPr>
          </w:p>
          <w:p>
            <w:pPr>
              <w:pStyle w:val="12"/>
              <w:shd w:val="clear" w:color="auto" w:fill="FFFFFF"/>
              <w:spacing w:before="0" w:beforeAutospacing="0" w:after="0" w:afterAutospacing="0"/>
              <w:rPr>
                <w:rFonts w:ascii="Arial" w:hAnsi="Arial" w:cs="Arial"/>
                <w:color w:val="7C7070"/>
                <w:sz w:val="21"/>
                <w:szCs w:val="21"/>
                <w:highlight w:val="none"/>
              </w:rPr>
            </w:pPr>
            <w:r>
              <w:rPr>
                <w:rFonts w:ascii="Arial" w:hAnsi="Arial" w:cs="Arial"/>
                <w:color w:val="7C7070"/>
                <w:sz w:val="21"/>
                <w:szCs w:val="21"/>
                <w:highlight w:val="none"/>
              </w:rPr>
              <w:t>指标3、电阻率</w:t>
            </w:r>
            <w:bookmarkStart w:id="3" w:name="_GoBack"/>
            <w:bookmarkEnd w:id="3"/>
            <w:r>
              <w:rPr>
                <w:rFonts w:ascii="Arial" w:hAnsi="Arial" w:cs="Arial"/>
                <w:color w:val="7C7070"/>
                <w:sz w:val="21"/>
                <w:szCs w:val="21"/>
                <w:highlight w:val="none"/>
              </w:rPr>
              <w:t xml:space="preserve"> &lt;0.40 Ω·dm （隔膜亲水）</w:t>
            </w:r>
          </w:p>
          <w:p>
            <w:pPr>
              <w:pStyle w:val="12"/>
              <w:shd w:val="clear" w:color="auto" w:fill="FFFFFF"/>
              <w:spacing w:before="0" w:beforeAutospacing="0" w:after="0" w:afterAutospacing="0"/>
              <w:rPr>
                <w:rFonts w:ascii="Arial" w:hAnsi="Arial" w:cs="Arial"/>
                <w:color w:val="7C7070"/>
                <w:sz w:val="21"/>
                <w:szCs w:val="21"/>
                <w:highlight w:val="none"/>
              </w:rPr>
            </w:pPr>
          </w:p>
          <w:p>
            <w:pPr>
              <w:pStyle w:val="12"/>
              <w:shd w:val="clear" w:color="auto" w:fill="FFFFFF"/>
              <w:spacing w:before="0" w:beforeAutospacing="0" w:after="0" w:afterAutospacing="0"/>
              <w:rPr>
                <w:rFonts w:ascii="Arial" w:hAnsi="Arial" w:cs="Arial"/>
                <w:color w:val="7C7070"/>
                <w:sz w:val="21"/>
                <w:szCs w:val="21"/>
                <w:highlight w:val="none"/>
              </w:rPr>
            </w:pPr>
            <w:r>
              <w:rPr>
                <w:rFonts w:ascii="Arial" w:hAnsi="Arial" w:cs="Arial"/>
                <w:color w:val="7C7070"/>
                <w:sz w:val="21"/>
                <w:szCs w:val="21"/>
                <w:highlight w:val="none"/>
              </w:rPr>
              <w:t>指标4、孔隙率 50%-55%</w:t>
            </w:r>
          </w:p>
          <w:p>
            <w:pPr>
              <w:pStyle w:val="12"/>
              <w:shd w:val="clear" w:color="auto" w:fill="FFFFFF"/>
              <w:spacing w:before="0" w:beforeAutospacing="0" w:after="0" w:afterAutospacing="0"/>
              <w:rPr>
                <w:rFonts w:ascii="Arial" w:hAnsi="Arial" w:cs="Arial"/>
                <w:color w:val="7C7070"/>
                <w:sz w:val="21"/>
                <w:szCs w:val="21"/>
                <w:highlight w:val="none"/>
              </w:rPr>
            </w:pPr>
          </w:p>
          <w:p>
            <w:pPr>
              <w:pStyle w:val="12"/>
              <w:shd w:val="clear" w:color="auto" w:fill="FFFFFF"/>
              <w:spacing w:before="0" w:beforeAutospacing="0" w:after="0" w:afterAutospacing="0"/>
              <w:rPr>
                <w:rFonts w:hint="eastAsia" w:ascii="Arial" w:hAnsi="Arial" w:cs="Arial"/>
                <w:color w:val="7C7070"/>
                <w:sz w:val="21"/>
                <w:szCs w:val="21"/>
                <w:highlight w:val="none"/>
              </w:rPr>
            </w:pPr>
            <w:r>
              <w:rPr>
                <w:rFonts w:ascii="Arial" w:hAnsi="Arial" w:cs="Arial"/>
                <w:color w:val="7C7070"/>
                <w:sz w:val="21"/>
                <w:szCs w:val="21"/>
                <w:highlight w:val="none"/>
              </w:rPr>
              <w:t>指标5、厚度 800μm ±20um</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highlight w:val="none"/>
              </w:rPr>
            </w:pPr>
            <w:r>
              <w:rPr>
                <w:rFonts w:ascii="宋体" w:hAnsi="宋体" w:cs="宋体"/>
                <w:color w:val="000000"/>
                <w:sz w:val="18"/>
                <w:szCs w:val="18"/>
                <w:highlight w:val="none"/>
              </w:rPr>
              <w:t>320</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平方米</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highlight w:val="none"/>
              </w:rPr>
            </w:pPr>
            <w:r>
              <w:rPr>
                <w:rFonts w:ascii="宋体" w:hAnsi="宋体" w:cs="宋体"/>
                <w:color w:val="000000"/>
                <w:sz w:val="18"/>
                <w:szCs w:val="18"/>
                <w:highlight w:val="none"/>
              </w:rPr>
              <w:t>260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3200</w:t>
            </w:r>
          </w:p>
        </w:tc>
        <w:tc>
          <w:tcPr>
            <w:tcW w:w="2468"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center"/>
              <w:rPr>
                <w:rFonts w:ascii="宋体" w:hAnsi="宋体" w:cs="宋体"/>
                <w:b/>
                <w:bCs/>
                <w:color w:val="000000"/>
                <w:sz w:val="18"/>
                <w:szCs w:val="18"/>
                <w:highlight w:val="none"/>
              </w:rPr>
            </w:pPr>
            <w:r>
              <w:rPr>
                <w:highlight w:val="none"/>
              </w:rPr>
              <w:drawing>
                <wp:inline distT="0" distB="0" distL="0" distR="0">
                  <wp:extent cx="833120" cy="1293495"/>
                  <wp:effectExtent l="0" t="0" r="50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849043" cy="1318430"/>
                          </a:xfrm>
                          <a:prstGeom prst="rect">
                            <a:avLst/>
                          </a:prstGeom>
                        </pic:spPr>
                      </pic:pic>
                    </a:graphicData>
                  </a:graphic>
                </wp:inline>
              </w:drawing>
            </w:r>
          </w:p>
        </w:tc>
        <w:tc>
          <w:tcPr>
            <w:tcW w:w="650"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left"/>
              <w:textAlignment w:val="center"/>
              <w:rPr>
                <w:rFonts w:ascii="宋体" w:hAnsi="宋体" w:cs="宋体"/>
                <w:b/>
                <w:bCs/>
                <w:color w:val="000000"/>
                <w:sz w:val="18"/>
                <w:szCs w:val="18"/>
                <w:highlight w:val="none"/>
              </w:rPr>
            </w:pPr>
          </w:p>
        </w:tc>
      </w:tr>
    </w:tbl>
    <w:p>
      <w:pPr>
        <w:ind w:firstLine="0"/>
        <w:rPr>
          <w:b/>
          <w:bCs/>
          <w:szCs w:val="21"/>
          <w:highlight w:val="none"/>
        </w:rPr>
      </w:pPr>
    </w:p>
    <w:p>
      <w:pPr>
        <w:ind w:firstLine="0"/>
        <w:rPr>
          <w:b/>
          <w:bCs/>
          <w:szCs w:val="21"/>
          <w:highlight w:val="none"/>
        </w:rPr>
      </w:pPr>
    </w:p>
    <w:p>
      <w:pPr>
        <w:widowControl/>
        <w:spacing w:before="199" w:after="450" w:line="450" w:lineRule="atLeast"/>
        <w:ind w:firstLine="0"/>
        <w:jc w:val="left"/>
        <w:outlineLvl w:val="1"/>
        <w:rPr>
          <w:color w:val="000000"/>
          <w:highlight w:val="none"/>
        </w:rPr>
      </w:pPr>
      <w:r>
        <w:rPr>
          <w:rFonts w:hint="eastAsia" w:ascii="微软雅黑" w:hAnsi="微软雅黑" w:eastAsia="微软雅黑" w:cs="宋体"/>
          <w:b/>
          <w:bCs/>
          <w:sz w:val="36"/>
          <w:szCs w:val="36"/>
          <w:highlight w:val="none"/>
        </w:rPr>
        <w:t>二、相关要求</w:t>
      </w:r>
    </w:p>
    <w:p>
      <w:pPr>
        <w:numPr>
          <w:ilvl w:val="0"/>
          <w:numId w:val="2"/>
        </w:numPr>
        <w:rPr>
          <w:rFonts w:ascii="宋体" w:hAnsi="宋体" w:cs="宋体"/>
          <w:szCs w:val="21"/>
          <w:highlight w:val="none"/>
        </w:rPr>
      </w:pPr>
      <w:bookmarkStart w:id="0" w:name="bookmark2"/>
      <w:bookmarkStart w:id="1" w:name="bookmark0"/>
      <w:bookmarkStart w:id="2" w:name="bookmark1"/>
      <w:r>
        <w:rPr>
          <w:rFonts w:hint="eastAsia" w:ascii="宋体" w:hAnsi="宋体"/>
          <w:highlight w:val="none"/>
        </w:rPr>
        <w:t>报价方式：</w:t>
      </w:r>
      <w:r>
        <w:rPr>
          <w:rFonts w:hint="eastAsia" w:ascii="宋体" w:hAnsi="宋体" w:cs="宋体"/>
          <w:szCs w:val="21"/>
          <w:highlight w:val="none"/>
        </w:rPr>
        <w:t>本次报价方式报总价，提供分项报价。综合单价中应包包含商品到达采购人指定地点并能正常使用所需的一切费用，包括但不限于商品购置费、包装费、运输费、装卸费、保险费、安装调试费、技术服务费、培训费以及保修费、税费等一切费用。</w:t>
      </w:r>
    </w:p>
    <w:p>
      <w:pPr>
        <w:numPr>
          <w:ilvl w:val="0"/>
          <w:numId w:val="2"/>
        </w:numPr>
        <w:rPr>
          <w:rFonts w:ascii="宋体" w:hAnsi="宋体" w:cs="宋体"/>
          <w:szCs w:val="21"/>
          <w:highlight w:val="none"/>
        </w:rPr>
      </w:pPr>
      <w:r>
        <w:rPr>
          <w:rFonts w:hint="eastAsia" w:ascii="宋体" w:hAnsi="宋体" w:cs="宋体"/>
          <w:szCs w:val="21"/>
          <w:highlight w:val="none"/>
        </w:rPr>
        <w:t>质保期：</w:t>
      </w:r>
      <w:r>
        <w:rPr>
          <w:rFonts w:hint="eastAsia" w:ascii="宋体" w:hAnsi="宋体" w:cs="宋体"/>
          <w:szCs w:val="21"/>
          <w:highlight w:val="none"/>
          <w:lang w:val="en-US" w:eastAsia="zh-CN"/>
        </w:rPr>
        <w:t>/</w:t>
      </w:r>
      <w:r>
        <w:rPr>
          <w:rFonts w:hint="eastAsia" w:ascii="宋体" w:hAnsi="宋体" w:cs="宋体"/>
          <w:szCs w:val="21"/>
          <w:highlight w:val="none"/>
        </w:rPr>
        <w:t>。</w:t>
      </w:r>
    </w:p>
    <w:p>
      <w:pPr>
        <w:numPr>
          <w:ilvl w:val="0"/>
          <w:numId w:val="2"/>
        </w:numPr>
        <w:rPr>
          <w:rFonts w:ascii="宋体" w:hAnsi="宋体" w:cs="宋体"/>
          <w:szCs w:val="21"/>
          <w:highlight w:val="none"/>
        </w:rPr>
      </w:pPr>
      <w:r>
        <w:rPr>
          <w:rFonts w:hint="eastAsia" w:ascii="宋体" w:hAnsi="宋体" w:cs="宋体"/>
          <w:szCs w:val="21"/>
          <w:highlight w:val="none"/>
        </w:rPr>
        <w:t>供货期：合同签订后，供货商接到发货通知后，</w:t>
      </w:r>
      <w:r>
        <w:rPr>
          <w:rFonts w:hint="eastAsia" w:ascii="宋体" w:hAnsi="宋体" w:cs="宋体"/>
          <w:szCs w:val="21"/>
          <w:highlight w:val="none"/>
          <w:lang w:val="en-US" w:eastAsia="zh-CN"/>
        </w:rPr>
        <w:t>尽快</w:t>
      </w:r>
      <w:r>
        <w:rPr>
          <w:rFonts w:hint="eastAsia" w:ascii="宋体" w:hAnsi="宋体" w:cs="宋体"/>
          <w:szCs w:val="21"/>
          <w:highlight w:val="none"/>
        </w:rPr>
        <w:t xml:space="preserve">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ascii="宋体" w:hAnsi="宋体"/>
          <w:highlight w:val="none"/>
        </w:rPr>
      </w:pPr>
      <w:r>
        <w:rPr>
          <w:rFonts w:hint="eastAsia" w:ascii="宋体" w:hAnsi="宋体" w:cs="宋体"/>
          <w:highlight w:val="none"/>
        </w:rPr>
        <w:t>售后服务：温州有售后服务点，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highlight w:val="none"/>
        </w:rPr>
        <w:t>期应重新计算。</w:t>
      </w:r>
    </w:p>
    <w:p>
      <w:pPr>
        <w:pStyle w:val="6"/>
        <w:numPr>
          <w:ilvl w:val="0"/>
          <w:numId w:val="2"/>
        </w:numPr>
        <w:spacing w:line="360" w:lineRule="auto"/>
        <w:rPr>
          <w:rFonts w:ascii="宋体" w:hAnsi="宋体"/>
          <w:highlight w:val="none"/>
        </w:rPr>
      </w:pPr>
      <w:r>
        <w:rPr>
          <w:rFonts w:hint="eastAsia" w:ascii="宋体" w:hAnsi="宋体"/>
          <w:highlight w:val="none"/>
        </w:rPr>
        <w:t>到货地点：浙江大学温州研究院指定地点。</w:t>
      </w:r>
    </w:p>
    <w:p>
      <w:pPr>
        <w:pStyle w:val="6"/>
        <w:numPr>
          <w:ilvl w:val="0"/>
          <w:numId w:val="2"/>
        </w:numPr>
        <w:spacing w:line="360" w:lineRule="auto"/>
        <w:rPr>
          <w:rFonts w:ascii="宋体" w:hAnsi="宋体"/>
          <w:highlight w:val="none"/>
        </w:rPr>
        <w:sectPr>
          <w:headerReference r:id="rId8" w:type="first"/>
          <w:footerReference r:id="rId10" w:type="first"/>
          <w:headerReference r:id="rId7" w:type="default"/>
          <w:footerReference r:id="rId9" w:type="default"/>
          <w:pgSz w:w="11906" w:h="16838"/>
          <w:pgMar w:top="1240" w:right="1800" w:bottom="1440" w:left="1800" w:header="851" w:footer="992" w:gutter="0"/>
          <w:pgNumType w:start="5"/>
          <w:cols w:space="720" w:num="1"/>
          <w:titlePg/>
          <w:docGrid w:type="lines" w:linePitch="312" w:charSpace="0"/>
        </w:sectPr>
      </w:pPr>
      <w:r>
        <w:rPr>
          <w:rFonts w:hint="eastAsia" w:ascii="宋体" w:hAnsi="宋体"/>
          <w:highlight w:val="none"/>
        </w:rPr>
        <w:t>对规格参数要求有任何疑问，请联系需求人孙磊磊：1</w:t>
      </w:r>
      <w:r>
        <w:rPr>
          <w:rFonts w:ascii="宋体" w:hAnsi="宋体"/>
          <w:highlight w:val="none"/>
        </w:rPr>
        <w:t>8804318190</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三、响应须知</w:t>
      </w:r>
    </w:p>
    <w:bookmarkEnd w:id="0"/>
    <w:bookmarkEnd w:id="1"/>
    <w:bookmarkEnd w:id="2"/>
    <w:p>
      <w:pPr>
        <w:numPr>
          <w:ilvl w:val="0"/>
          <w:numId w:val="3"/>
        </w:numPr>
        <w:tabs>
          <w:tab w:val="left" w:pos="312"/>
        </w:tabs>
        <w:rPr>
          <w:b/>
        </w:rPr>
      </w:pPr>
      <w:r>
        <w:rPr>
          <w:rFonts w:hint="eastAsia" w:ascii="宋体" w:hAnsi="宋体"/>
          <w:b/>
        </w:rPr>
        <w:t>所有报价供应商均为认同并遵守本在线询价中的所有要求。</w:t>
      </w:r>
    </w:p>
    <w:p>
      <w:pPr>
        <w:numPr>
          <w:ilvl w:val="0"/>
          <w:numId w:val="3"/>
        </w:numPr>
        <w:tabs>
          <w:tab w:val="left" w:pos="312"/>
        </w:tabs>
        <w:rPr>
          <w:b/>
        </w:rPr>
      </w:pPr>
      <w:r>
        <w:rPr>
          <w:rFonts w:hint="eastAsia"/>
          <w:b/>
        </w:rPr>
        <w:t>中标供应商如因自身原因放弃项目的中标资格或者拒签合同的，原则上不得参加对该项目重新开展的采购活动。</w:t>
      </w:r>
    </w:p>
    <w:p>
      <w:pPr>
        <w:numPr>
          <w:ilvl w:val="0"/>
          <w:numId w:val="3"/>
        </w:numPr>
        <w:tabs>
          <w:tab w:val="left" w:pos="312"/>
        </w:tabs>
        <w:rPr>
          <w:b/>
        </w:rPr>
      </w:pPr>
      <w:r>
        <w:rPr>
          <w:rFonts w:hint="eastAsia" w:ascii="宋体" w:hAnsi="宋体"/>
          <w:b/>
        </w:rPr>
        <w:t>针对上述要求，报价单位必须认真审核本在线询价采购文件中的所有要求。</w:t>
      </w:r>
    </w:p>
    <w:p>
      <w:pPr>
        <w:tabs>
          <w:tab w:val="left" w:pos="-200"/>
          <w:tab w:val="left" w:pos="0"/>
        </w:tabs>
        <w:spacing w:line="240" w:lineRule="auto"/>
        <w:rPr>
          <w:rFonts w:ascii="宋体" w:hAnsi="宋体" w:cs="宋体"/>
          <w:szCs w:val="21"/>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rPr>
        <w:t>报价供应商需将加盖公章的报价单文件发送至邮箱zdwzyjy2023@163.com，未按要求提交的供应商，采购人可按无效响应处理。</w:t>
      </w:r>
    </w:p>
    <w:p>
      <w:pPr>
        <w:tabs>
          <w:tab w:val="left" w:pos="-200"/>
          <w:tab w:val="left" w:pos="0"/>
        </w:tabs>
        <w:spacing w:line="240" w:lineRule="auto"/>
        <w:rPr>
          <w:rFonts w:ascii="宋体" w:hAnsi="宋体" w:cs="宋体"/>
          <w:szCs w:val="21"/>
        </w:rPr>
      </w:pPr>
      <w:r>
        <w:rPr>
          <w:rFonts w:hint="eastAsia" w:ascii="宋体" w:hAnsi="宋体" w:cs="宋体"/>
          <w:szCs w:val="21"/>
        </w:rPr>
        <w:t>附件：</w:t>
      </w:r>
    </w:p>
    <w:p>
      <w:pPr>
        <w:ind w:firstLine="6160" w:firstLineChars="1400"/>
        <w:rPr>
          <w:rFonts w:ascii="宋体" w:hAnsi="宋体" w:cs="宋体"/>
          <w:szCs w:val="21"/>
        </w:rPr>
      </w:pPr>
      <w:r>
        <w:rPr>
          <w:rFonts w:hint="eastAsia" w:ascii="方正小标宋简体" w:eastAsia="方正小标宋简体"/>
          <w:sz w:val="44"/>
          <w:szCs w:val="44"/>
        </w:rPr>
        <w:t>报 价 单</w:t>
      </w:r>
    </w:p>
    <w:tbl>
      <w:tblPr>
        <w:tblStyle w:val="14"/>
        <w:tblpPr w:leftFromText="180" w:rightFromText="180" w:vertAnchor="text" w:horzAnchor="margin" w:tblpX="-254" w:tblpY="11"/>
        <w:tblW w:w="14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45"/>
        <w:gridCol w:w="1500"/>
        <w:gridCol w:w="1350"/>
        <w:gridCol w:w="1695"/>
        <w:gridCol w:w="1090"/>
        <w:gridCol w:w="1035"/>
        <w:gridCol w:w="1035"/>
        <w:gridCol w:w="905"/>
        <w:gridCol w:w="1477"/>
        <w:gridCol w:w="136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eastAsiaTheme="minorEastAsia"/>
                <w:sz w:val="24"/>
              </w:rPr>
            </w:pPr>
            <w:r>
              <w:rPr>
                <w:rFonts w:hint="eastAsia"/>
                <w:sz w:val="24"/>
              </w:rPr>
              <w:t>投标项目名称及编号</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eastAsiaTheme="minorEastAsia"/>
                <w:sz w:val="24"/>
              </w:rPr>
            </w:pPr>
            <w:r>
              <w:rPr>
                <w:rFonts w:hint="eastAsia" w:asciiTheme="minorEastAsia" w:hAnsiTheme="minorEastAsia"/>
                <w:sz w:val="24"/>
              </w:rPr>
              <w:t>报名投标单位名称及盖章</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sz w:val="24"/>
              </w:rPr>
            </w:pPr>
            <w:r>
              <w:rPr>
                <w:rFonts w:hint="eastAsia"/>
                <w:sz w:val="24"/>
              </w:rPr>
              <w:t>报名投标单位联系人及联系电话</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eastAsiaTheme="minorEastAsia"/>
                <w:sz w:val="24"/>
              </w:rPr>
            </w:pPr>
            <w:r>
              <w:rPr>
                <w:rFonts w:hint="eastAsia" w:asciiTheme="minorEastAsia" w:hAnsiTheme="minorEastAsia"/>
                <w:sz w:val="24"/>
              </w:rPr>
              <w:t>报名时间</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750" w:type="dxa"/>
            <w:vAlign w:val="center"/>
          </w:tcPr>
          <w:p>
            <w:pPr>
              <w:ind w:firstLine="0"/>
              <w:rPr>
                <w:rFonts w:asciiTheme="minorEastAsia" w:hAnsiTheme="minorEastAsia" w:eastAsiaTheme="minorEastAsia"/>
                <w:sz w:val="24"/>
              </w:rPr>
            </w:pPr>
            <w:r>
              <w:rPr>
                <w:rFonts w:hint="eastAsia" w:asciiTheme="minorEastAsia" w:hAnsiTheme="minorEastAsia"/>
                <w:sz w:val="24"/>
              </w:rPr>
              <w:t>序号</w:t>
            </w:r>
          </w:p>
        </w:tc>
        <w:tc>
          <w:tcPr>
            <w:tcW w:w="1245" w:type="dxa"/>
            <w:vAlign w:val="center"/>
          </w:tcPr>
          <w:p>
            <w:pPr>
              <w:ind w:firstLine="0"/>
              <w:rPr>
                <w:rFonts w:asciiTheme="minorEastAsia" w:hAnsiTheme="minorEastAsia"/>
                <w:sz w:val="24"/>
              </w:rPr>
            </w:pPr>
            <w:r>
              <w:rPr>
                <w:rFonts w:hint="eastAsia" w:asciiTheme="minorEastAsia" w:hAnsiTheme="minorEastAsia"/>
                <w:sz w:val="24"/>
              </w:rPr>
              <w:t>商品名称</w:t>
            </w:r>
          </w:p>
        </w:tc>
        <w:tc>
          <w:tcPr>
            <w:tcW w:w="1500" w:type="dxa"/>
            <w:vAlign w:val="center"/>
          </w:tcPr>
          <w:p>
            <w:pPr>
              <w:ind w:firstLine="0"/>
              <w:rPr>
                <w:rFonts w:asciiTheme="minorEastAsia" w:hAnsiTheme="minorEastAsia"/>
                <w:sz w:val="24"/>
              </w:rPr>
            </w:pPr>
            <w:r>
              <w:rPr>
                <w:rFonts w:hint="eastAsia" w:asciiTheme="minorEastAsia" w:hAnsiTheme="minorEastAsia"/>
                <w:sz w:val="24"/>
              </w:rPr>
              <w:t>生产厂商（品牌）</w:t>
            </w:r>
          </w:p>
        </w:tc>
        <w:tc>
          <w:tcPr>
            <w:tcW w:w="1350" w:type="dxa"/>
            <w:vAlign w:val="center"/>
          </w:tcPr>
          <w:p>
            <w:pPr>
              <w:ind w:firstLine="0"/>
              <w:rPr>
                <w:rFonts w:asciiTheme="minorEastAsia" w:hAnsiTheme="minorEastAsia"/>
                <w:sz w:val="24"/>
              </w:rPr>
            </w:pPr>
            <w:r>
              <w:rPr>
                <w:rFonts w:hint="eastAsia" w:asciiTheme="minorEastAsia" w:hAnsiTheme="minorEastAsia"/>
                <w:sz w:val="24"/>
              </w:rPr>
              <w:t>型号规格</w:t>
            </w:r>
          </w:p>
        </w:tc>
        <w:tc>
          <w:tcPr>
            <w:tcW w:w="1695" w:type="dxa"/>
            <w:vAlign w:val="center"/>
          </w:tcPr>
          <w:p>
            <w:pPr>
              <w:ind w:firstLine="0"/>
              <w:rPr>
                <w:rFonts w:asciiTheme="minorEastAsia" w:hAnsiTheme="minorEastAsia" w:eastAsiaTheme="minorEastAsia"/>
                <w:sz w:val="24"/>
              </w:rPr>
            </w:pPr>
            <w:r>
              <w:rPr>
                <w:rFonts w:hint="eastAsia" w:asciiTheme="minorEastAsia" w:hAnsiTheme="minorEastAsia"/>
                <w:sz w:val="24"/>
              </w:rPr>
              <w:t>设备配置及技术参数（可附页）</w:t>
            </w:r>
          </w:p>
        </w:tc>
        <w:tc>
          <w:tcPr>
            <w:tcW w:w="1090" w:type="dxa"/>
            <w:vAlign w:val="center"/>
          </w:tcPr>
          <w:p>
            <w:pPr>
              <w:ind w:firstLine="0"/>
              <w:rPr>
                <w:rFonts w:asciiTheme="minorEastAsia" w:hAnsiTheme="minorEastAsia" w:eastAsiaTheme="minorEastAsia"/>
                <w:sz w:val="24"/>
              </w:rPr>
            </w:pPr>
            <w:r>
              <w:rPr>
                <w:rFonts w:hint="eastAsia" w:asciiTheme="minorEastAsia" w:hAnsiTheme="minorEastAsia"/>
                <w:sz w:val="24"/>
              </w:rPr>
              <w:t>交货期</w:t>
            </w:r>
          </w:p>
        </w:tc>
        <w:tc>
          <w:tcPr>
            <w:tcW w:w="1035" w:type="dxa"/>
            <w:vAlign w:val="center"/>
          </w:tcPr>
          <w:p>
            <w:pPr>
              <w:ind w:firstLine="0"/>
              <w:rPr>
                <w:rFonts w:asciiTheme="minorEastAsia" w:hAnsiTheme="minorEastAsia" w:eastAsiaTheme="minorEastAsia"/>
                <w:sz w:val="24"/>
              </w:rPr>
            </w:pPr>
            <w:r>
              <w:rPr>
                <w:rFonts w:hint="eastAsia" w:asciiTheme="minorEastAsia" w:hAnsiTheme="minorEastAsia"/>
                <w:sz w:val="24"/>
              </w:rPr>
              <w:t>质保期</w:t>
            </w:r>
          </w:p>
        </w:tc>
        <w:tc>
          <w:tcPr>
            <w:tcW w:w="1035" w:type="dxa"/>
            <w:vAlign w:val="center"/>
          </w:tcPr>
          <w:p>
            <w:pPr>
              <w:ind w:firstLine="0"/>
              <w:rPr>
                <w:rFonts w:asciiTheme="minorEastAsia" w:hAnsiTheme="minorEastAsia"/>
                <w:sz w:val="24"/>
              </w:rPr>
            </w:pPr>
            <w:r>
              <w:rPr>
                <w:rFonts w:hint="eastAsia" w:asciiTheme="minorEastAsia" w:hAnsiTheme="minorEastAsia"/>
                <w:sz w:val="24"/>
              </w:rPr>
              <w:t>数量</w:t>
            </w:r>
          </w:p>
        </w:tc>
        <w:tc>
          <w:tcPr>
            <w:tcW w:w="905" w:type="dxa"/>
            <w:vAlign w:val="center"/>
          </w:tcPr>
          <w:p>
            <w:pPr>
              <w:ind w:firstLine="0"/>
              <w:rPr>
                <w:rFonts w:asciiTheme="minorEastAsia" w:hAnsiTheme="minorEastAsia"/>
                <w:sz w:val="24"/>
              </w:rPr>
            </w:pPr>
            <w:r>
              <w:rPr>
                <w:rFonts w:hint="eastAsia" w:asciiTheme="minorEastAsia" w:hAnsiTheme="minorEastAsia"/>
                <w:sz w:val="24"/>
              </w:rPr>
              <w:t>单位</w:t>
            </w:r>
          </w:p>
        </w:tc>
        <w:tc>
          <w:tcPr>
            <w:tcW w:w="1477" w:type="dxa"/>
            <w:vAlign w:val="center"/>
          </w:tcPr>
          <w:p>
            <w:pPr>
              <w:ind w:firstLine="0"/>
              <w:rPr>
                <w:rFonts w:asciiTheme="minorEastAsia" w:hAnsiTheme="minorEastAsia"/>
                <w:sz w:val="24"/>
              </w:rPr>
            </w:pPr>
            <w:r>
              <w:rPr>
                <w:rFonts w:hint="eastAsia" w:asciiTheme="minorEastAsia" w:hAnsiTheme="minorEastAsia"/>
                <w:sz w:val="24"/>
              </w:rPr>
              <w:t>单价（元）</w:t>
            </w:r>
          </w:p>
        </w:tc>
        <w:tc>
          <w:tcPr>
            <w:tcW w:w="1363" w:type="dxa"/>
            <w:vAlign w:val="center"/>
          </w:tcPr>
          <w:p>
            <w:pPr>
              <w:ind w:firstLine="0"/>
              <w:rPr>
                <w:rFonts w:asciiTheme="minorEastAsia" w:hAnsiTheme="minorEastAsia"/>
                <w:sz w:val="24"/>
              </w:rPr>
            </w:pPr>
            <w:r>
              <w:rPr>
                <w:rFonts w:hint="eastAsia" w:asciiTheme="minorEastAsia" w:hAnsiTheme="minorEastAsia"/>
                <w:sz w:val="24"/>
              </w:rPr>
              <w:t>总价（元）</w:t>
            </w:r>
          </w:p>
        </w:tc>
        <w:tc>
          <w:tcPr>
            <w:tcW w:w="1414"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1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14" w:type="dxa"/>
            <w:vAlign w:val="center"/>
          </w:tcPr>
          <w:p>
            <w:pPr>
              <w:jc w:val="center"/>
            </w:pPr>
          </w:p>
        </w:tc>
      </w:tr>
    </w:tbl>
    <w:p>
      <w:pPr>
        <w:ind w:firstLine="0"/>
        <w:rPr>
          <w:w w:val="95"/>
        </w:rPr>
      </w:pPr>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Xhht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i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LJXhhtwBAADBAwAADgAAAAAAAAAB&#10;ACAAAAAeAQAAZHJzL2Uyb0RvYy54bWxQSwUGAAAAAAYABgBZAQAAbAU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fMW9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8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I2fMW9wBAADBAwAADgAAAAAAAAAB&#10;ACAAAAAeAQAAZHJzL2Uyb0RvYy54bWxQSwUGAAAAAAYABgBZAQAAbAU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TRlY2YxM2Q4Yzc0Njc5ODY4NzZlZjBhYmQzOTgifQ=="/>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85D85"/>
    <w:rsid w:val="00192CB6"/>
    <w:rsid w:val="00194BA2"/>
    <w:rsid w:val="00196D17"/>
    <w:rsid w:val="001B45BE"/>
    <w:rsid w:val="001C3D1A"/>
    <w:rsid w:val="00216106"/>
    <w:rsid w:val="00221A7F"/>
    <w:rsid w:val="00223B1F"/>
    <w:rsid w:val="00223ECC"/>
    <w:rsid w:val="002252B4"/>
    <w:rsid w:val="002324CD"/>
    <w:rsid w:val="00234FBD"/>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61B0"/>
    <w:rsid w:val="004B3902"/>
    <w:rsid w:val="004C120E"/>
    <w:rsid w:val="004C34DC"/>
    <w:rsid w:val="004F237A"/>
    <w:rsid w:val="004F59B8"/>
    <w:rsid w:val="00523C69"/>
    <w:rsid w:val="005261FF"/>
    <w:rsid w:val="00536335"/>
    <w:rsid w:val="00540571"/>
    <w:rsid w:val="0055298B"/>
    <w:rsid w:val="00554768"/>
    <w:rsid w:val="0056447A"/>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C047F"/>
    <w:rsid w:val="006D2BA5"/>
    <w:rsid w:val="006E564B"/>
    <w:rsid w:val="006F6D33"/>
    <w:rsid w:val="007021CA"/>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F659C"/>
    <w:rsid w:val="00A220B3"/>
    <w:rsid w:val="00A254B2"/>
    <w:rsid w:val="00A30AFB"/>
    <w:rsid w:val="00A361DB"/>
    <w:rsid w:val="00A364FF"/>
    <w:rsid w:val="00A379D7"/>
    <w:rsid w:val="00A37BF5"/>
    <w:rsid w:val="00A475F0"/>
    <w:rsid w:val="00A52A9B"/>
    <w:rsid w:val="00A54BD5"/>
    <w:rsid w:val="00A56743"/>
    <w:rsid w:val="00A5704E"/>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55648"/>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627E0"/>
    <w:rsid w:val="00F673AB"/>
    <w:rsid w:val="00FA52CB"/>
    <w:rsid w:val="00FB55E2"/>
    <w:rsid w:val="00FB7AB4"/>
    <w:rsid w:val="00FD00D1"/>
    <w:rsid w:val="00FD45D1"/>
    <w:rsid w:val="00FD75E7"/>
    <w:rsid w:val="00FE1BB3"/>
    <w:rsid w:val="00FE4293"/>
    <w:rsid w:val="00FF0F5A"/>
    <w:rsid w:val="00FF7263"/>
    <w:rsid w:val="01C74355"/>
    <w:rsid w:val="045D1931"/>
    <w:rsid w:val="05311908"/>
    <w:rsid w:val="06E520F4"/>
    <w:rsid w:val="072B07EF"/>
    <w:rsid w:val="07EF3530"/>
    <w:rsid w:val="08DE6D0E"/>
    <w:rsid w:val="08E07DAE"/>
    <w:rsid w:val="09CA0A04"/>
    <w:rsid w:val="0A717562"/>
    <w:rsid w:val="0ABA5EA1"/>
    <w:rsid w:val="0C5F2995"/>
    <w:rsid w:val="0CAF5FEF"/>
    <w:rsid w:val="0DAD52C5"/>
    <w:rsid w:val="0DDD3A40"/>
    <w:rsid w:val="0E9D6C3E"/>
    <w:rsid w:val="0EDC362F"/>
    <w:rsid w:val="10D455F8"/>
    <w:rsid w:val="117D06E9"/>
    <w:rsid w:val="11B97609"/>
    <w:rsid w:val="12176D07"/>
    <w:rsid w:val="125005C8"/>
    <w:rsid w:val="13C51693"/>
    <w:rsid w:val="148661A5"/>
    <w:rsid w:val="14EB00CF"/>
    <w:rsid w:val="14ED489F"/>
    <w:rsid w:val="173D3514"/>
    <w:rsid w:val="176D2F9A"/>
    <w:rsid w:val="181518F2"/>
    <w:rsid w:val="182B76F5"/>
    <w:rsid w:val="18867185"/>
    <w:rsid w:val="191275A0"/>
    <w:rsid w:val="19BE4D51"/>
    <w:rsid w:val="1A4A3123"/>
    <w:rsid w:val="1BB763C8"/>
    <w:rsid w:val="1C5A25D7"/>
    <w:rsid w:val="1C724A32"/>
    <w:rsid w:val="1D3D3830"/>
    <w:rsid w:val="1E530286"/>
    <w:rsid w:val="1F647FD9"/>
    <w:rsid w:val="20961656"/>
    <w:rsid w:val="209D7127"/>
    <w:rsid w:val="20A4043D"/>
    <w:rsid w:val="21075521"/>
    <w:rsid w:val="21E0729C"/>
    <w:rsid w:val="239F1DE7"/>
    <w:rsid w:val="23BA6392"/>
    <w:rsid w:val="24461B1F"/>
    <w:rsid w:val="24965E29"/>
    <w:rsid w:val="24C053A1"/>
    <w:rsid w:val="258E28A4"/>
    <w:rsid w:val="259819C1"/>
    <w:rsid w:val="25BB3904"/>
    <w:rsid w:val="25DE19B7"/>
    <w:rsid w:val="26CC6518"/>
    <w:rsid w:val="29077FCE"/>
    <w:rsid w:val="29FA428B"/>
    <w:rsid w:val="2CC57DCA"/>
    <w:rsid w:val="2CFF2911"/>
    <w:rsid w:val="2D82642C"/>
    <w:rsid w:val="2E0A5F49"/>
    <w:rsid w:val="31707A22"/>
    <w:rsid w:val="319E5231"/>
    <w:rsid w:val="31EE0F3D"/>
    <w:rsid w:val="32295A90"/>
    <w:rsid w:val="32401B61"/>
    <w:rsid w:val="3267400C"/>
    <w:rsid w:val="328C1951"/>
    <w:rsid w:val="33CF7E4B"/>
    <w:rsid w:val="33E75211"/>
    <w:rsid w:val="34A84B23"/>
    <w:rsid w:val="35521561"/>
    <w:rsid w:val="35774001"/>
    <w:rsid w:val="35A60508"/>
    <w:rsid w:val="36A35E5F"/>
    <w:rsid w:val="36C5744F"/>
    <w:rsid w:val="378568C1"/>
    <w:rsid w:val="39E07CA6"/>
    <w:rsid w:val="3A51125F"/>
    <w:rsid w:val="3A6F5774"/>
    <w:rsid w:val="3A8C2FFF"/>
    <w:rsid w:val="3AEF469A"/>
    <w:rsid w:val="3B4E1AB7"/>
    <w:rsid w:val="3B911029"/>
    <w:rsid w:val="3C084000"/>
    <w:rsid w:val="3C131FCD"/>
    <w:rsid w:val="3C254856"/>
    <w:rsid w:val="3DE95596"/>
    <w:rsid w:val="3E6C50D8"/>
    <w:rsid w:val="3EF80D60"/>
    <w:rsid w:val="3F8F360F"/>
    <w:rsid w:val="402D19C4"/>
    <w:rsid w:val="41635215"/>
    <w:rsid w:val="41FF4E9C"/>
    <w:rsid w:val="42253CE8"/>
    <w:rsid w:val="42D279D5"/>
    <w:rsid w:val="43E03B02"/>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EA05C5B"/>
    <w:rsid w:val="4F187423"/>
    <w:rsid w:val="4F365532"/>
    <w:rsid w:val="4F37628C"/>
    <w:rsid w:val="4FCC1DAC"/>
    <w:rsid w:val="512C04BC"/>
    <w:rsid w:val="51652AEA"/>
    <w:rsid w:val="51B46785"/>
    <w:rsid w:val="525A7155"/>
    <w:rsid w:val="52C00EF4"/>
    <w:rsid w:val="5353276D"/>
    <w:rsid w:val="53840F34"/>
    <w:rsid w:val="53D5425E"/>
    <w:rsid w:val="54257DE3"/>
    <w:rsid w:val="5498297C"/>
    <w:rsid w:val="557939A9"/>
    <w:rsid w:val="56793775"/>
    <w:rsid w:val="569C025C"/>
    <w:rsid w:val="57A14A13"/>
    <w:rsid w:val="57DE0767"/>
    <w:rsid w:val="58325980"/>
    <w:rsid w:val="58DC271C"/>
    <w:rsid w:val="59B85E5B"/>
    <w:rsid w:val="5BEB0CA6"/>
    <w:rsid w:val="5CEE34CC"/>
    <w:rsid w:val="5D457319"/>
    <w:rsid w:val="5E1930B1"/>
    <w:rsid w:val="5E7C4F42"/>
    <w:rsid w:val="5E902291"/>
    <w:rsid w:val="5FF6114B"/>
    <w:rsid w:val="627B53B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8212C0"/>
    <w:rsid w:val="76BA7523"/>
    <w:rsid w:val="76DE792F"/>
    <w:rsid w:val="77831B44"/>
    <w:rsid w:val="77E868C7"/>
    <w:rsid w:val="782A4E17"/>
    <w:rsid w:val="782D3E29"/>
    <w:rsid w:val="79B30A96"/>
    <w:rsid w:val="7AEA5A5C"/>
    <w:rsid w:val="7B8E1315"/>
    <w:rsid w:val="7BBB67DD"/>
    <w:rsid w:val="7C185F4E"/>
    <w:rsid w:val="7C2D6042"/>
    <w:rsid w:val="7C770BC7"/>
    <w:rsid w:val="7CE9661F"/>
    <w:rsid w:val="7DAF37EB"/>
    <w:rsid w:val="7DE30ED2"/>
    <w:rsid w:val="7E1A44A8"/>
    <w:rsid w:val="7E39250C"/>
    <w:rsid w:val="7E8B41CA"/>
    <w:rsid w:val="7E9D32FB"/>
    <w:rsid w:val="7F4D30FB"/>
    <w:rsid w:val="7FD75EAA"/>
    <w:rsid w:val="7FE9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jc w:val="center"/>
      <w:outlineLvl w:val="0"/>
    </w:pPr>
    <w:rPr>
      <w:rFonts w:ascii="Arial" w:hAnsi="Arial" w:eastAsia="华文中宋"/>
      <w:b/>
      <w:color w:val="000000"/>
      <w:sz w:val="32"/>
    </w:rPr>
  </w:style>
  <w:style w:type="paragraph" w:styleId="3">
    <w:name w:val="heading 2"/>
    <w:basedOn w:val="1"/>
    <w:next w:val="1"/>
    <w:autoRedefine/>
    <w:qFormat/>
    <w:uiPriority w:val="1"/>
    <w:pPr>
      <w:ind w:left="898"/>
      <w:outlineLvl w:val="1"/>
    </w:pPr>
    <w:rPr>
      <w:rFonts w:ascii="宋体" w:hAnsi="宋体" w:cs="宋体"/>
      <w:sz w:val="28"/>
      <w:szCs w:val="28"/>
    </w:rPr>
  </w:style>
  <w:style w:type="paragraph" w:styleId="4">
    <w:name w:val="heading 3"/>
    <w:basedOn w:val="1"/>
    <w:next w:val="1"/>
    <w:autoRedefine/>
    <w:qFormat/>
    <w:uiPriority w:val="1"/>
    <w:pPr>
      <w:spacing w:before="34"/>
      <w:ind w:left="123"/>
      <w:outlineLvl w:val="2"/>
    </w:pPr>
    <w:rPr>
      <w:rFonts w:ascii="宋体" w:hAnsi="宋体" w:cs="宋体"/>
      <w:sz w:val="24"/>
    </w:rPr>
  </w:style>
  <w:style w:type="paragraph" w:styleId="5">
    <w:name w:val="heading 5"/>
    <w:basedOn w:val="1"/>
    <w:next w:val="1"/>
    <w:autoRedefine/>
    <w:qFormat/>
    <w:uiPriority w:val="1"/>
    <w:pPr>
      <w:spacing w:before="21"/>
      <w:ind w:left="910"/>
      <w:outlineLvl w:val="4"/>
    </w:pPr>
    <w:rPr>
      <w:rFonts w:ascii="宋体" w:hAnsi="宋体" w:cs="宋体"/>
      <w:b/>
      <w:bCs/>
      <w:szCs w:val="21"/>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sz w:val="20"/>
      <w:szCs w:val="20"/>
      <w:lang w:eastAsia="en-US"/>
    </w:rPr>
  </w:style>
  <w:style w:type="paragraph" w:styleId="8">
    <w:name w:val="Body Text"/>
    <w:basedOn w:val="1"/>
    <w:autoRedefine/>
    <w:qFormat/>
    <w:uiPriority w:val="1"/>
    <w:pPr>
      <w:ind w:left="543"/>
    </w:pPr>
    <w:rPr>
      <w:rFonts w:ascii="宋体" w:hAnsi="宋体" w:cs="宋体"/>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6"/>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7"/>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autoRedefine/>
    <w:unhideWhenUsed/>
    <w:qFormat/>
    <w:uiPriority w:val="99"/>
    <w:pPr>
      <w:widowControl/>
      <w:spacing w:before="100" w:beforeAutospacing="1" w:after="100" w:afterAutospacing="1" w:line="240" w:lineRule="auto"/>
      <w:ind w:firstLine="0"/>
      <w:jc w:val="left"/>
    </w:pPr>
    <w:rPr>
      <w:rFonts w:ascii="宋体" w:hAnsi="宋体" w:cs="宋体"/>
      <w:sz w:val="24"/>
    </w:rPr>
  </w:style>
  <w:style w:type="table" w:styleId="14">
    <w:name w:val="Table Grid"/>
    <w:basedOn w:val="13"/>
    <w:autoRedefine/>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脚 字符"/>
    <w:basedOn w:val="15"/>
    <w:link w:val="10"/>
    <w:autoRedefine/>
    <w:qFormat/>
    <w:uiPriority w:val="99"/>
    <w:rPr>
      <w:sz w:val="18"/>
      <w:szCs w:val="18"/>
    </w:rPr>
  </w:style>
  <w:style w:type="character" w:customStyle="1" w:styleId="17">
    <w:name w:val="页眉 字符"/>
    <w:basedOn w:val="15"/>
    <w:link w:val="11"/>
    <w:autoRedefine/>
    <w:qFormat/>
    <w:uiPriority w:val="99"/>
    <w:rPr>
      <w:sz w:val="18"/>
      <w:szCs w:val="18"/>
    </w:rPr>
  </w:style>
  <w:style w:type="paragraph" w:customStyle="1" w:styleId="18">
    <w:name w:val="BodyText1I2"/>
    <w:basedOn w:val="19"/>
    <w:autoRedefine/>
    <w:qFormat/>
    <w:uiPriority w:val="0"/>
    <w:pPr>
      <w:ind w:firstLineChars="200"/>
    </w:pPr>
  </w:style>
  <w:style w:type="paragraph" w:customStyle="1" w:styleId="19">
    <w:name w:val="BodyTextIndent"/>
    <w:basedOn w:val="1"/>
    <w:autoRedefine/>
    <w:qFormat/>
    <w:uiPriority w:val="0"/>
    <w:pPr>
      <w:spacing w:after="120" w:line="240" w:lineRule="auto"/>
      <w:ind w:left="420" w:leftChars="200"/>
      <w:textAlignment w:val="baseline"/>
    </w:pPr>
    <w:rPr>
      <w:color w:val="000000"/>
      <w:kern w:val="2"/>
    </w:rPr>
  </w:style>
  <w:style w:type="character" w:customStyle="1" w:styleId="20">
    <w:name w:val="font11"/>
    <w:basedOn w:val="15"/>
    <w:autoRedefine/>
    <w:qFormat/>
    <w:uiPriority w:val="0"/>
    <w:rPr>
      <w:rFonts w:hint="eastAsia" w:ascii="宋体" w:hAnsi="宋体" w:eastAsia="宋体" w:cs="宋体"/>
      <w:color w:val="000000"/>
      <w:sz w:val="24"/>
      <w:szCs w:val="24"/>
      <w:u w:val="none"/>
    </w:rPr>
  </w:style>
  <w:style w:type="character" w:customStyle="1" w:styleId="21">
    <w:name w:val="font01"/>
    <w:basedOn w:val="15"/>
    <w:autoRedefine/>
    <w:qFormat/>
    <w:uiPriority w:val="0"/>
    <w:rPr>
      <w:rFonts w:hint="eastAsia" w:ascii="宋体" w:hAnsi="宋体" w:eastAsia="宋体" w:cs="宋体"/>
      <w:b/>
      <w:color w:val="000000"/>
      <w:sz w:val="24"/>
      <w:szCs w:val="24"/>
      <w:u w:val="none"/>
    </w:rPr>
  </w:style>
  <w:style w:type="character" w:customStyle="1" w:styleId="22">
    <w:name w:val="gray s"/>
    <w:basedOn w:val="15"/>
    <w:autoRedefine/>
    <w:qFormat/>
    <w:uiPriority w:val="0"/>
  </w:style>
  <w:style w:type="character" w:customStyle="1" w:styleId="23">
    <w:name w:val="Heading #1|1_"/>
    <w:basedOn w:val="15"/>
    <w:link w:val="24"/>
    <w:autoRedefine/>
    <w:qFormat/>
    <w:uiPriority w:val="0"/>
    <w:rPr>
      <w:rFonts w:ascii="宋体" w:hAnsi="宋体" w:eastAsia="宋体" w:cs="宋体"/>
      <w:sz w:val="38"/>
      <w:szCs w:val="38"/>
      <w:lang w:val="zh-TW" w:eastAsia="zh-TW" w:bidi="zh-TW"/>
    </w:rPr>
  </w:style>
  <w:style w:type="paragraph" w:customStyle="1" w:styleId="24">
    <w:name w:val="Heading #1|1"/>
    <w:basedOn w:val="1"/>
    <w:link w:val="23"/>
    <w:autoRedefine/>
    <w:qFormat/>
    <w:uiPriority w:val="0"/>
    <w:pPr>
      <w:spacing w:after="500" w:line="240" w:lineRule="auto"/>
      <w:ind w:firstLine="0"/>
      <w:jc w:val="center"/>
      <w:outlineLvl w:val="0"/>
    </w:pPr>
    <w:rPr>
      <w:rFonts w:ascii="宋体" w:hAnsi="宋体" w:cs="宋体"/>
      <w:sz w:val="38"/>
      <w:szCs w:val="38"/>
      <w:lang w:val="zh-TW" w:eastAsia="zh-TW" w:bidi="zh-TW"/>
    </w:rPr>
  </w:style>
  <w:style w:type="character" w:customStyle="1" w:styleId="25">
    <w:name w:val="Header or footer|2_"/>
    <w:basedOn w:val="15"/>
    <w:link w:val="26"/>
    <w:autoRedefine/>
    <w:qFormat/>
    <w:uiPriority w:val="0"/>
    <w:rPr>
      <w:lang w:val="zh-TW" w:eastAsia="zh-TW" w:bidi="zh-TW"/>
    </w:rPr>
  </w:style>
  <w:style w:type="paragraph" w:customStyle="1" w:styleId="26">
    <w:name w:val="Header or footer|2"/>
    <w:basedOn w:val="1"/>
    <w:link w:val="25"/>
    <w:autoRedefine/>
    <w:qFormat/>
    <w:uiPriority w:val="0"/>
    <w:pPr>
      <w:spacing w:line="240" w:lineRule="auto"/>
      <w:ind w:firstLine="0"/>
      <w:jc w:val="left"/>
    </w:pPr>
    <w:rPr>
      <w:sz w:val="20"/>
      <w:szCs w:val="20"/>
      <w:lang w:val="zh-TW" w:eastAsia="zh-TW" w:bidi="zh-TW"/>
    </w:rPr>
  </w:style>
  <w:style w:type="character" w:customStyle="1" w:styleId="27">
    <w:name w:val="Body text|2_"/>
    <w:basedOn w:val="15"/>
    <w:link w:val="28"/>
    <w:autoRedefine/>
    <w:qFormat/>
    <w:uiPriority w:val="0"/>
    <w:rPr>
      <w:b/>
      <w:bCs/>
      <w:color w:val="0000E7"/>
      <w:sz w:val="18"/>
      <w:szCs w:val="18"/>
      <w:lang w:val="zh-TW" w:eastAsia="zh-TW" w:bidi="zh-TW"/>
    </w:rPr>
  </w:style>
  <w:style w:type="paragraph" w:customStyle="1" w:styleId="28">
    <w:name w:val="Body text|2"/>
    <w:basedOn w:val="1"/>
    <w:link w:val="27"/>
    <w:autoRedefine/>
    <w:qFormat/>
    <w:uiPriority w:val="0"/>
    <w:pPr>
      <w:spacing w:after="140" w:line="240" w:lineRule="auto"/>
      <w:ind w:firstLine="0"/>
      <w:jc w:val="right"/>
    </w:pPr>
    <w:rPr>
      <w:b/>
      <w:bCs/>
      <w:color w:val="0000E7"/>
      <w:sz w:val="18"/>
      <w:szCs w:val="18"/>
      <w:lang w:val="zh-TW" w:eastAsia="zh-TW" w:bidi="zh-TW"/>
    </w:rPr>
  </w:style>
  <w:style w:type="character" w:customStyle="1" w:styleId="29">
    <w:name w:val="Body text|1_"/>
    <w:basedOn w:val="15"/>
    <w:link w:val="30"/>
    <w:autoRedefine/>
    <w:qFormat/>
    <w:uiPriority w:val="0"/>
    <w:rPr>
      <w:rFonts w:ascii="宋体" w:hAnsi="宋体" w:eastAsia="宋体" w:cs="宋体"/>
      <w:sz w:val="16"/>
      <w:szCs w:val="16"/>
      <w:lang w:val="zh-TW" w:eastAsia="zh-TW" w:bidi="zh-TW"/>
    </w:rPr>
  </w:style>
  <w:style w:type="paragraph" w:customStyle="1" w:styleId="30">
    <w:name w:val="Body text|1"/>
    <w:basedOn w:val="1"/>
    <w:link w:val="29"/>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1">
    <w:name w:val="Table caption|1_"/>
    <w:basedOn w:val="15"/>
    <w:link w:val="32"/>
    <w:autoRedefine/>
    <w:qFormat/>
    <w:uiPriority w:val="0"/>
    <w:rPr>
      <w:rFonts w:ascii="宋体" w:hAnsi="宋体" w:eastAsia="宋体" w:cs="宋体"/>
      <w:sz w:val="16"/>
      <w:szCs w:val="16"/>
      <w:lang w:val="zh-TW" w:eastAsia="zh-TW" w:bidi="zh-TW"/>
    </w:rPr>
  </w:style>
  <w:style w:type="paragraph" w:customStyle="1" w:styleId="32">
    <w:name w:val="Table caption|1"/>
    <w:basedOn w:val="1"/>
    <w:link w:val="31"/>
    <w:autoRedefine/>
    <w:qFormat/>
    <w:uiPriority w:val="0"/>
    <w:pPr>
      <w:spacing w:line="240" w:lineRule="auto"/>
      <w:ind w:firstLine="0"/>
      <w:jc w:val="right"/>
    </w:pPr>
    <w:rPr>
      <w:rFonts w:ascii="宋体" w:hAnsi="宋体" w:cs="宋体"/>
      <w:sz w:val="16"/>
      <w:szCs w:val="16"/>
      <w:lang w:val="zh-TW" w:eastAsia="zh-TW" w:bidi="zh-TW"/>
    </w:rPr>
  </w:style>
  <w:style w:type="character" w:customStyle="1" w:styleId="33">
    <w:name w:val="Other|1_"/>
    <w:basedOn w:val="15"/>
    <w:link w:val="34"/>
    <w:autoRedefine/>
    <w:qFormat/>
    <w:uiPriority w:val="0"/>
    <w:rPr>
      <w:rFonts w:ascii="宋体" w:hAnsi="宋体" w:eastAsia="宋体" w:cs="宋体"/>
      <w:sz w:val="16"/>
      <w:szCs w:val="16"/>
      <w:lang w:val="zh-TW" w:eastAsia="zh-TW" w:bidi="zh-TW"/>
    </w:rPr>
  </w:style>
  <w:style w:type="paragraph" w:customStyle="1" w:styleId="34">
    <w:name w:val="Other|1"/>
    <w:basedOn w:val="1"/>
    <w:link w:val="33"/>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5">
    <w:name w:val="Body text|4_"/>
    <w:basedOn w:val="15"/>
    <w:link w:val="36"/>
    <w:autoRedefine/>
    <w:qFormat/>
    <w:uiPriority w:val="0"/>
    <w:rPr>
      <w:rFonts w:ascii="宋体" w:hAnsi="宋体" w:eastAsia="宋体" w:cs="宋体"/>
      <w:color w:val="4068DD"/>
      <w:sz w:val="18"/>
      <w:szCs w:val="18"/>
      <w:lang w:val="zh-TW" w:eastAsia="zh-TW" w:bidi="zh-TW"/>
    </w:rPr>
  </w:style>
  <w:style w:type="paragraph" w:customStyle="1" w:styleId="36">
    <w:name w:val="Body text|4"/>
    <w:basedOn w:val="1"/>
    <w:link w:val="35"/>
    <w:autoRedefine/>
    <w:qFormat/>
    <w:uiPriority w:val="0"/>
    <w:pPr>
      <w:spacing w:after="40" w:line="245" w:lineRule="exact"/>
      <w:ind w:firstLine="240"/>
      <w:jc w:val="left"/>
    </w:pPr>
    <w:rPr>
      <w:rFonts w:ascii="宋体" w:hAnsi="宋体" w:cs="宋体"/>
      <w:color w:val="4068DD"/>
      <w:sz w:val="18"/>
      <w:szCs w:val="18"/>
      <w:lang w:val="zh-TW" w:eastAsia="zh-TW" w:bidi="zh-TW"/>
    </w:rPr>
  </w:style>
  <w:style w:type="character" w:customStyle="1" w:styleId="37">
    <w:name w:val="Body text|3_"/>
    <w:basedOn w:val="15"/>
    <w:link w:val="38"/>
    <w:autoRedefine/>
    <w:qFormat/>
    <w:uiPriority w:val="0"/>
    <w:rPr>
      <w:i/>
      <w:iCs/>
      <w:color w:val="4068DD"/>
      <w:sz w:val="22"/>
      <w:szCs w:val="22"/>
      <w:lang w:val="zh-TW" w:eastAsia="zh-TW" w:bidi="zh-TW"/>
    </w:rPr>
  </w:style>
  <w:style w:type="paragraph" w:customStyle="1" w:styleId="38">
    <w:name w:val="Body text|3"/>
    <w:basedOn w:val="1"/>
    <w:link w:val="37"/>
    <w:autoRedefine/>
    <w:qFormat/>
    <w:uiPriority w:val="0"/>
    <w:pPr>
      <w:spacing w:after="40" w:line="240" w:lineRule="auto"/>
      <w:ind w:firstLine="240"/>
      <w:jc w:val="left"/>
    </w:pPr>
    <w:rPr>
      <w:i/>
      <w:iCs/>
      <w:color w:val="4068DD"/>
      <w:sz w:val="22"/>
      <w:szCs w:val="22"/>
      <w:lang w:val="zh-TW" w:eastAsia="zh-TW" w:bidi="zh-TW"/>
    </w:rPr>
  </w:style>
  <w:style w:type="paragraph" w:customStyle="1" w:styleId="39">
    <w:name w:val="Table Paragraph"/>
    <w:basedOn w:val="1"/>
    <w:autoRedefine/>
    <w:qFormat/>
    <w:uiPriority w:val="1"/>
    <w:rPr>
      <w:rFonts w:ascii="宋体" w:hAnsi="宋体" w:cs="宋体"/>
    </w:rPr>
  </w:style>
  <w:style w:type="paragraph" w:styleId="40">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Words>
  <Characters>1005</Characters>
  <Lines>8</Lines>
  <Paragraphs>2</Paragraphs>
  <TotalTime>69</TotalTime>
  <ScaleCrop>false</ScaleCrop>
  <LinksUpToDate>false</LinksUpToDate>
  <CharactersWithSpaces>1179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2024-01-03T02:19:00Z</dcterms:created>
  <dc:creator>张才</dc:creator>
  <cp:lastModifiedBy>余佳晨</cp:lastModifiedBy>
  <dcterms:modified xsi:type="dcterms:W3CDTF">2024-03-22T01:57:05Z</dcterms:modified>
  <dc:title>60L型开水器主要参数</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6B777EBC00A84E6B9681E582B699CD93_13</vt:lpwstr>
  </property>
</Properties>
</file>