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2F239">
      <w:pPr>
        <w:jc w:val="center"/>
        <w:rPr>
          <w:b/>
          <w:sz w:val="68"/>
          <w:szCs w:val="68"/>
        </w:rPr>
      </w:pPr>
    </w:p>
    <w:p w14:paraId="47936001">
      <w:pPr>
        <w:jc w:val="center"/>
        <w:rPr>
          <w:rFonts w:hint="eastAsia" w:ascii="黑体" w:hAnsi="黑体" w:eastAsia="黑体"/>
          <w:b/>
          <w:sz w:val="64"/>
          <w:szCs w:val="64"/>
        </w:rPr>
      </w:pPr>
      <w:r>
        <w:rPr>
          <w:rFonts w:hint="eastAsia" w:ascii="黑体" w:hAnsi="黑体" w:eastAsia="黑体"/>
          <w:b/>
          <w:sz w:val="64"/>
          <w:szCs w:val="64"/>
        </w:rPr>
        <w:t>浙江大学温州研究院</w:t>
      </w:r>
    </w:p>
    <w:p w14:paraId="7BD6E465">
      <w:pPr>
        <w:jc w:val="center"/>
        <w:rPr>
          <w:rFonts w:hint="eastAsia" w:ascii="黑体" w:hAnsi="黑体" w:eastAsia="黑体"/>
          <w:b/>
          <w:sz w:val="64"/>
          <w:szCs w:val="64"/>
        </w:rPr>
      </w:pPr>
      <w:r>
        <w:rPr>
          <w:rFonts w:hint="eastAsia" w:ascii="黑体" w:hAnsi="黑体" w:eastAsia="黑体"/>
          <w:b/>
          <w:sz w:val="64"/>
          <w:szCs w:val="64"/>
        </w:rPr>
        <w:t>在线询价</w:t>
      </w:r>
      <w:r>
        <w:rPr>
          <w:rFonts w:ascii="黑体" w:hAnsi="黑体" w:eastAsia="黑体"/>
          <w:b/>
          <w:sz w:val="64"/>
          <w:szCs w:val="64"/>
        </w:rPr>
        <w:t>采购文件</w:t>
      </w:r>
    </w:p>
    <w:p w14:paraId="7E04F551">
      <w:pPr>
        <w:jc w:val="center"/>
        <w:rPr>
          <w:b/>
          <w:sz w:val="72"/>
          <w:szCs w:val="72"/>
        </w:rPr>
      </w:pPr>
    </w:p>
    <w:p w14:paraId="1F4423BB">
      <w:pPr>
        <w:jc w:val="center"/>
        <w:rPr>
          <w:b/>
          <w:sz w:val="72"/>
          <w:szCs w:val="72"/>
        </w:rPr>
      </w:pPr>
    </w:p>
    <w:p w14:paraId="141B87CA">
      <w:pPr>
        <w:jc w:val="center"/>
        <w:rPr>
          <w:b/>
          <w:sz w:val="72"/>
          <w:szCs w:val="72"/>
        </w:rPr>
      </w:pPr>
    </w:p>
    <w:p w14:paraId="7F351577">
      <w:pPr>
        <w:snapToGrid w:val="0"/>
        <w:rPr>
          <w:b/>
          <w:sz w:val="28"/>
          <w:szCs w:val="28"/>
        </w:rPr>
      </w:pPr>
    </w:p>
    <w:p w14:paraId="32856234">
      <w:pPr>
        <w:pStyle w:val="9"/>
        <w:snapToGrid w:val="0"/>
        <w:spacing w:before="156" w:after="156" w:line="360" w:lineRule="auto"/>
        <w:ind w:firstLine="0"/>
        <w:jc w:val="center"/>
        <w:rPr>
          <w:rFonts w:ascii="Times New Roman" w:hAnsi="Times New Roman"/>
          <w:b/>
          <w:sz w:val="32"/>
          <w:szCs w:val="32"/>
          <w:highlight w:val="yellow"/>
        </w:rPr>
      </w:pPr>
      <w:r>
        <w:rPr>
          <w:rFonts w:ascii="Times New Roman" w:hAnsi="Times New Roman"/>
          <w:b/>
          <w:sz w:val="32"/>
          <w:szCs w:val="32"/>
        </w:rPr>
        <w:t>项目名称：</w:t>
      </w:r>
      <w:r>
        <w:rPr>
          <w:rFonts w:hint="eastAsia" w:ascii="Times New Roman" w:hAnsi="Times New Roman"/>
          <w:b/>
          <w:sz w:val="32"/>
          <w:szCs w:val="32"/>
        </w:rPr>
        <w:t>原位高温常压掠入式二维材料XAFS装置</w:t>
      </w:r>
    </w:p>
    <w:p w14:paraId="421534FD">
      <w:pPr>
        <w:pStyle w:val="9"/>
        <w:snapToGrid w:val="0"/>
        <w:spacing w:before="156" w:after="156" w:line="360" w:lineRule="auto"/>
        <w:ind w:firstLine="0"/>
        <w:jc w:val="center"/>
        <w:rPr>
          <w:rFonts w:ascii="Times New Roman" w:hAnsi="Times New Roman"/>
          <w:b/>
          <w:sz w:val="32"/>
          <w:szCs w:val="32"/>
          <w:highlight w:val="yellow"/>
        </w:rPr>
      </w:pPr>
      <w:r>
        <w:rPr>
          <w:rFonts w:hint="eastAsia" w:ascii="Times New Roman" w:hAnsi="Times New Roman"/>
          <w:b/>
          <w:sz w:val="32"/>
          <w:szCs w:val="32"/>
        </w:rPr>
        <w:t xml:space="preserve">项目编号：ZDWYY-XJ-2026023 </w:t>
      </w:r>
    </w:p>
    <w:p w14:paraId="429EAE6B">
      <w:pPr>
        <w:pStyle w:val="9"/>
        <w:snapToGrid w:val="0"/>
        <w:spacing w:before="156" w:after="156" w:line="360" w:lineRule="auto"/>
        <w:ind w:firstLine="841" w:firstLineChars="294"/>
        <w:rPr>
          <w:rFonts w:ascii="Times New Roman" w:hAnsi="Times New Roman"/>
          <w:b/>
          <w:bCs/>
          <w:w w:val="95"/>
          <w:sz w:val="30"/>
          <w:szCs w:val="30"/>
        </w:rPr>
      </w:pPr>
    </w:p>
    <w:p w14:paraId="5C9616E9">
      <w:pPr>
        <w:pStyle w:val="9"/>
        <w:snapToGrid w:val="0"/>
        <w:spacing w:before="156" w:after="156" w:line="360" w:lineRule="auto"/>
        <w:ind w:firstLine="841" w:firstLineChars="294"/>
        <w:rPr>
          <w:rFonts w:ascii="Times New Roman" w:hAnsi="Times New Roman"/>
          <w:b/>
          <w:bCs/>
          <w:w w:val="95"/>
          <w:sz w:val="30"/>
          <w:szCs w:val="30"/>
        </w:rPr>
      </w:pPr>
    </w:p>
    <w:p w14:paraId="04F9D2E6">
      <w:pPr>
        <w:pStyle w:val="9"/>
        <w:snapToGrid w:val="0"/>
        <w:spacing w:before="156" w:after="156" w:line="360" w:lineRule="auto"/>
        <w:ind w:firstLine="841" w:firstLineChars="294"/>
        <w:rPr>
          <w:rFonts w:ascii="Times New Roman" w:hAnsi="Times New Roman"/>
          <w:b/>
          <w:bCs/>
          <w:w w:val="95"/>
          <w:sz w:val="30"/>
          <w:szCs w:val="30"/>
        </w:rPr>
      </w:pPr>
    </w:p>
    <w:p w14:paraId="7F1C6465">
      <w:pPr>
        <w:pStyle w:val="9"/>
        <w:snapToGrid w:val="0"/>
        <w:spacing w:before="156" w:after="156" w:line="360" w:lineRule="auto"/>
        <w:ind w:firstLine="841" w:firstLineChars="294"/>
        <w:rPr>
          <w:rFonts w:ascii="Times New Roman" w:hAnsi="Times New Roman"/>
          <w:b/>
          <w:bCs/>
          <w:w w:val="95"/>
          <w:sz w:val="30"/>
          <w:szCs w:val="30"/>
        </w:rPr>
      </w:pPr>
    </w:p>
    <w:p w14:paraId="7F446249">
      <w:pPr>
        <w:pStyle w:val="9"/>
        <w:snapToGrid w:val="0"/>
        <w:spacing w:before="156" w:after="156" w:line="360" w:lineRule="auto"/>
        <w:ind w:firstLine="841" w:firstLineChars="294"/>
        <w:rPr>
          <w:rFonts w:ascii="Times New Roman" w:hAnsi="Times New Roman"/>
          <w:b/>
          <w:bCs/>
          <w:w w:val="95"/>
          <w:sz w:val="30"/>
          <w:szCs w:val="30"/>
        </w:rPr>
      </w:pPr>
    </w:p>
    <w:p w14:paraId="7D7B846D">
      <w:pPr>
        <w:pStyle w:val="9"/>
        <w:snapToGrid w:val="0"/>
        <w:spacing w:before="156" w:after="156" w:line="360" w:lineRule="auto"/>
        <w:ind w:firstLine="841" w:firstLineChars="294"/>
        <w:rPr>
          <w:rFonts w:ascii="Times New Roman" w:hAnsi="Times New Roman"/>
          <w:b/>
          <w:bCs/>
          <w:w w:val="95"/>
          <w:sz w:val="30"/>
          <w:szCs w:val="30"/>
        </w:rPr>
      </w:pPr>
    </w:p>
    <w:p w14:paraId="069437D2">
      <w:pPr>
        <w:pStyle w:val="9"/>
        <w:snapToGrid w:val="0"/>
        <w:spacing w:before="156" w:after="156" w:line="360" w:lineRule="auto"/>
        <w:ind w:firstLine="841" w:firstLineChars="294"/>
        <w:rPr>
          <w:rFonts w:ascii="Times New Roman" w:hAnsi="Times New Roman"/>
          <w:b/>
          <w:bCs/>
          <w:w w:val="95"/>
          <w:sz w:val="30"/>
          <w:szCs w:val="30"/>
        </w:rPr>
      </w:pPr>
    </w:p>
    <w:p w14:paraId="7F2E2E41">
      <w:pPr>
        <w:widowControl/>
        <w:autoSpaceDE w:val="0"/>
        <w:autoSpaceDN w:val="0"/>
        <w:spacing w:line="240" w:lineRule="auto"/>
        <w:jc w:val="center"/>
        <w:textAlignment w:val="bottom"/>
        <w:rPr>
          <w:b/>
          <w:bCs/>
          <w:w w:val="95"/>
          <w:sz w:val="32"/>
          <w:szCs w:val="32"/>
        </w:rPr>
      </w:pPr>
      <w:r>
        <w:rPr>
          <w:rFonts w:hint="eastAsia"/>
          <w:b/>
          <w:bCs/>
          <w:w w:val="95"/>
          <w:sz w:val="32"/>
          <w:szCs w:val="32"/>
        </w:rPr>
        <w:t>浙江大学温州研究院</w:t>
      </w:r>
    </w:p>
    <w:p w14:paraId="29B171F2">
      <w:pPr>
        <w:spacing w:line="440" w:lineRule="exact"/>
        <w:ind w:firstLine="0"/>
        <w:jc w:val="center"/>
        <w:rPr>
          <w:rFonts w:hint="eastAsia" w:ascii="宋体" w:hAnsi="宋体"/>
          <w:b/>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b/>
          <w:bCs/>
          <w:w w:val="95"/>
          <w:sz w:val="32"/>
          <w:szCs w:val="32"/>
          <w:highlight w:val="yellow"/>
        </w:rPr>
        <w:t>2026年9月</w:t>
      </w:r>
    </w:p>
    <w:p w14:paraId="176D0DFC">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一、采购需求</w:t>
      </w:r>
    </w:p>
    <w:p w14:paraId="4DBE3172">
      <w:pPr>
        <w:numPr>
          <w:ilvl w:val="0"/>
          <w:numId w:val="1"/>
        </w:numPr>
        <w:ind w:firstLine="0"/>
        <w:rPr>
          <w:b/>
          <w:bCs/>
          <w:szCs w:val="21"/>
        </w:rPr>
      </w:pPr>
      <w:r>
        <w:rPr>
          <w:rFonts w:hint="eastAsia"/>
          <w:b/>
          <w:bCs/>
          <w:szCs w:val="21"/>
        </w:rPr>
        <w:t>采购物资：原位池；采购数量：</w:t>
      </w:r>
      <w:r>
        <w:rPr>
          <w:rFonts w:hint="eastAsia"/>
          <w:b/>
          <w:bCs/>
          <w:szCs w:val="21"/>
          <w:highlight w:val="yellow"/>
        </w:rPr>
        <w:t>1个</w:t>
      </w:r>
      <w:r>
        <w:rPr>
          <w:rFonts w:hint="eastAsia"/>
          <w:b/>
          <w:bCs/>
          <w:szCs w:val="21"/>
        </w:rPr>
        <w:t>；总预算：</w:t>
      </w:r>
      <w:r>
        <w:rPr>
          <w:rFonts w:hint="eastAsia"/>
          <w:b/>
          <w:bCs/>
          <w:szCs w:val="21"/>
          <w:highlight w:val="yellow"/>
        </w:rPr>
        <w:t>110000元</w:t>
      </w:r>
      <w:r>
        <w:rPr>
          <w:rFonts w:hint="eastAsia"/>
          <w:b/>
          <w:bCs/>
          <w:szCs w:val="21"/>
        </w:rPr>
        <w:t>。</w:t>
      </w:r>
    </w:p>
    <w:p w14:paraId="147BC566">
      <w:pPr>
        <w:numPr>
          <w:ilvl w:val="0"/>
          <w:numId w:val="1"/>
        </w:numPr>
        <w:ind w:firstLine="0"/>
        <w:rPr>
          <w:b/>
          <w:bCs/>
          <w:szCs w:val="21"/>
        </w:rPr>
      </w:pPr>
      <w:r>
        <w:rPr>
          <w:rFonts w:hint="eastAsia"/>
          <w:b/>
          <w:bCs/>
          <w:szCs w:val="21"/>
        </w:rPr>
        <w:t>规格参数（对规格参数有任何疑问，请联系</w:t>
      </w:r>
      <w:r>
        <w:rPr>
          <w:rFonts w:hint="eastAsia"/>
          <w:b/>
          <w:bCs/>
          <w:szCs w:val="21"/>
          <w:highlight w:val="yellow"/>
        </w:rPr>
        <w:t>项目组老师毛佳宁，联系方式18852082231</w:t>
      </w:r>
      <w:r>
        <w:rPr>
          <w:rFonts w:hint="eastAsia"/>
          <w:b/>
          <w:bCs/>
          <w:szCs w:val="21"/>
        </w:rPr>
        <w:t>）</w:t>
      </w:r>
    </w:p>
    <w:tbl>
      <w:tblPr>
        <w:tblStyle w:val="12"/>
        <w:tblW w:w="10977" w:type="dxa"/>
        <w:tblInd w:w="-1198" w:type="dxa"/>
        <w:tblLayout w:type="fixed"/>
        <w:tblCellMar>
          <w:top w:w="0" w:type="dxa"/>
          <w:left w:w="108" w:type="dxa"/>
          <w:bottom w:w="0" w:type="dxa"/>
          <w:right w:w="108" w:type="dxa"/>
        </w:tblCellMar>
      </w:tblPr>
      <w:tblGrid>
        <w:gridCol w:w="465"/>
        <w:gridCol w:w="1036"/>
        <w:gridCol w:w="4176"/>
        <w:gridCol w:w="451"/>
        <w:gridCol w:w="390"/>
        <w:gridCol w:w="630"/>
        <w:gridCol w:w="711"/>
        <w:gridCol w:w="2468"/>
        <w:gridCol w:w="650"/>
      </w:tblGrid>
      <w:tr w14:paraId="5C7BB635">
        <w:tblPrEx>
          <w:tblCellMar>
            <w:top w:w="0" w:type="dxa"/>
            <w:left w:w="108" w:type="dxa"/>
            <w:bottom w:w="0" w:type="dxa"/>
            <w:right w:w="108" w:type="dxa"/>
          </w:tblCellMar>
        </w:tblPrEx>
        <w:trPr>
          <w:trHeight w:val="640" w:hRule="atLeast"/>
        </w:trPr>
        <w:tc>
          <w:tcPr>
            <w:tcW w:w="465" w:type="dxa"/>
            <w:tcBorders>
              <w:top w:val="single" w:color="000000" w:sz="4" w:space="0"/>
              <w:left w:val="single" w:color="000000" w:sz="4" w:space="0"/>
              <w:bottom w:val="single" w:color="000000" w:sz="4" w:space="0"/>
              <w:right w:val="single" w:color="000000" w:sz="4" w:space="0"/>
            </w:tcBorders>
            <w:noWrap/>
            <w:vAlign w:val="center"/>
          </w:tcPr>
          <w:p w14:paraId="6B508B81">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序号</w:t>
            </w:r>
          </w:p>
        </w:tc>
        <w:tc>
          <w:tcPr>
            <w:tcW w:w="1036" w:type="dxa"/>
            <w:tcBorders>
              <w:top w:val="single" w:color="000000" w:sz="4" w:space="0"/>
              <w:left w:val="single" w:color="000000" w:sz="4" w:space="0"/>
              <w:bottom w:val="single" w:color="000000" w:sz="4" w:space="0"/>
              <w:right w:val="single" w:color="000000" w:sz="4" w:space="0"/>
            </w:tcBorders>
            <w:vAlign w:val="center"/>
          </w:tcPr>
          <w:p w14:paraId="0C04CF93">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商品名称</w:t>
            </w:r>
          </w:p>
        </w:tc>
        <w:tc>
          <w:tcPr>
            <w:tcW w:w="4176" w:type="dxa"/>
            <w:tcBorders>
              <w:top w:val="single" w:color="000000" w:sz="4" w:space="0"/>
              <w:left w:val="single" w:color="000000" w:sz="4" w:space="0"/>
              <w:bottom w:val="single" w:color="000000" w:sz="4" w:space="0"/>
              <w:right w:val="single" w:color="000000" w:sz="4" w:space="0"/>
            </w:tcBorders>
            <w:noWrap/>
            <w:vAlign w:val="center"/>
          </w:tcPr>
          <w:p w14:paraId="2F9BE9AF">
            <w:pPr>
              <w:widowControl/>
              <w:spacing w:line="240" w:lineRule="auto"/>
              <w:ind w:firstLine="0"/>
              <w:jc w:val="center"/>
              <w:textAlignment w:val="center"/>
              <w:rPr>
                <w:rFonts w:hint="eastAsia" w:ascii="宋体" w:hAnsi="宋体" w:cs="宋体"/>
                <w:b/>
                <w:bCs/>
                <w:color w:val="000000"/>
                <w:sz w:val="18"/>
                <w:szCs w:val="18"/>
              </w:rPr>
            </w:pPr>
            <w:r>
              <w:rPr>
                <w:rFonts w:hint="eastAsia" w:ascii="宋体" w:hAnsi="宋体" w:cs="宋体"/>
                <w:b/>
                <w:bCs/>
                <w:color w:val="000000"/>
                <w:sz w:val="18"/>
                <w:szCs w:val="18"/>
              </w:rPr>
              <w:t>技术参数</w:t>
            </w:r>
          </w:p>
        </w:tc>
        <w:tc>
          <w:tcPr>
            <w:tcW w:w="451" w:type="dxa"/>
            <w:tcBorders>
              <w:top w:val="single" w:color="000000" w:sz="4" w:space="0"/>
              <w:left w:val="single" w:color="000000" w:sz="4" w:space="0"/>
              <w:bottom w:val="single" w:color="000000" w:sz="4" w:space="0"/>
              <w:right w:val="single" w:color="000000" w:sz="4" w:space="0"/>
            </w:tcBorders>
            <w:noWrap/>
            <w:vAlign w:val="center"/>
          </w:tcPr>
          <w:p w14:paraId="0B60A9A8">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数量</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165945A9">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单位</w:t>
            </w:r>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9D21DA3">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最高单价</w:t>
            </w:r>
          </w:p>
        </w:tc>
        <w:tc>
          <w:tcPr>
            <w:tcW w:w="711" w:type="dxa"/>
            <w:tcBorders>
              <w:top w:val="single" w:color="000000" w:sz="4" w:space="0"/>
              <w:left w:val="single" w:color="000000" w:sz="4" w:space="0"/>
              <w:bottom w:val="single" w:color="000000" w:sz="4" w:space="0"/>
              <w:right w:val="single" w:color="auto" w:sz="4" w:space="0"/>
            </w:tcBorders>
            <w:noWrap/>
            <w:vAlign w:val="center"/>
          </w:tcPr>
          <w:p w14:paraId="0CC7EDBB">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总价</w:t>
            </w:r>
          </w:p>
        </w:tc>
        <w:tc>
          <w:tcPr>
            <w:tcW w:w="2468" w:type="dxa"/>
            <w:tcBorders>
              <w:top w:val="single" w:color="auto" w:sz="4" w:space="0"/>
              <w:left w:val="single" w:color="auto" w:sz="4" w:space="0"/>
              <w:bottom w:val="single" w:color="auto" w:sz="4" w:space="0"/>
              <w:right w:val="single" w:color="auto" w:sz="4" w:space="0"/>
            </w:tcBorders>
            <w:noWrap/>
            <w:vAlign w:val="center"/>
          </w:tcPr>
          <w:p w14:paraId="6CF7C79E">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图片</w:t>
            </w:r>
          </w:p>
        </w:tc>
        <w:tc>
          <w:tcPr>
            <w:tcW w:w="650" w:type="dxa"/>
            <w:tcBorders>
              <w:top w:val="single" w:color="auto" w:sz="4" w:space="0"/>
              <w:left w:val="single" w:color="auto" w:sz="4" w:space="0"/>
              <w:bottom w:val="single" w:color="auto" w:sz="4" w:space="0"/>
              <w:right w:val="single" w:color="auto" w:sz="4" w:space="0"/>
            </w:tcBorders>
            <w:noWrap/>
            <w:vAlign w:val="center"/>
          </w:tcPr>
          <w:p w14:paraId="78B1EA70">
            <w:pPr>
              <w:widowControl/>
              <w:spacing w:line="240" w:lineRule="auto"/>
              <w:ind w:firstLine="0"/>
              <w:textAlignment w:val="center"/>
              <w:rPr>
                <w:rFonts w:hint="eastAsia" w:ascii="宋体" w:hAnsi="宋体" w:cs="宋体"/>
                <w:b/>
                <w:bCs/>
                <w:color w:val="000000"/>
                <w:sz w:val="18"/>
                <w:szCs w:val="18"/>
              </w:rPr>
            </w:pPr>
            <w:r>
              <w:rPr>
                <w:rFonts w:hint="eastAsia" w:ascii="宋体" w:hAnsi="宋体" w:cs="宋体"/>
                <w:b/>
                <w:bCs/>
                <w:color w:val="000000"/>
                <w:sz w:val="18"/>
                <w:szCs w:val="18"/>
              </w:rPr>
              <w:t>备注</w:t>
            </w:r>
          </w:p>
        </w:tc>
      </w:tr>
      <w:tr w14:paraId="040D7049">
        <w:tblPrEx>
          <w:tblCellMar>
            <w:top w:w="0" w:type="dxa"/>
            <w:left w:w="108" w:type="dxa"/>
            <w:bottom w:w="0" w:type="dxa"/>
            <w:right w:w="108" w:type="dxa"/>
          </w:tblCellMar>
        </w:tblPrEx>
        <w:trPr>
          <w:trHeight w:val="1186" w:hRule="atLeast"/>
        </w:trPr>
        <w:tc>
          <w:tcPr>
            <w:tcW w:w="465" w:type="dxa"/>
            <w:tcBorders>
              <w:top w:val="single" w:color="000000" w:sz="4" w:space="0"/>
              <w:left w:val="single" w:color="000000" w:sz="4" w:space="0"/>
              <w:bottom w:val="single" w:color="000000" w:sz="4" w:space="0"/>
              <w:right w:val="single" w:color="000000" w:sz="4" w:space="0"/>
            </w:tcBorders>
            <w:noWrap/>
            <w:vAlign w:val="center"/>
          </w:tcPr>
          <w:p w14:paraId="110A0246">
            <w:pPr>
              <w:widowControl/>
              <w:spacing w:line="240" w:lineRule="auto"/>
              <w:ind w:firstLine="0"/>
              <w:textAlignment w:val="center"/>
              <w:rPr>
                <w:rFonts w:hint="eastAsia" w:ascii="宋体" w:hAnsi="宋体" w:cs="宋体"/>
                <w:color w:val="000000"/>
                <w:sz w:val="18"/>
                <w:szCs w:val="18"/>
              </w:rPr>
            </w:pPr>
            <w:r>
              <w:rPr>
                <w:rFonts w:hint="eastAsia" w:ascii="宋体" w:hAnsi="宋体" w:cs="宋体"/>
                <w:color w:val="000000"/>
                <w:sz w:val="18"/>
                <w:szCs w:val="18"/>
                <w:lang w:bidi="ar"/>
              </w:rPr>
              <w:t>1</w:t>
            </w:r>
          </w:p>
        </w:tc>
        <w:tc>
          <w:tcPr>
            <w:tcW w:w="1036" w:type="dxa"/>
            <w:tcBorders>
              <w:top w:val="single" w:color="000000" w:sz="4" w:space="0"/>
              <w:left w:val="single" w:color="000000" w:sz="4" w:space="0"/>
              <w:bottom w:val="single" w:color="000000" w:sz="4" w:space="0"/>
              <w:right w:val="single" w:color="000000" w:sz="4" w:space="0"/>
            </w:tcBorders>
            <w:vAlign w:val="center"/>
          </w:tcPr>
          <w:p w14:paraId="4805E3F0">
            <w:pPr>
              <w:widowControl/>
              <w:spacing w:line="240" w:lineRule="auto"/>
              <w:ind w:firstLine="0"/>
              <w:textAlignment w:val="center"/>
              <w:rPr>
                <w:rFonts w:hint="eastAsia" w:ascii="宋体" w:hAnsi="宋体" w:cs="宋体"/>
                <w:color w:val="000000"/>
                <w:sz w:val="20"/>
                <w:szCs w:val="20"/>
              </w:rPr>
            </w:pPr>
            <w:r>
              <w:rPr>
                <w:rFonts w:hint="eastAsia"/>
                <w:b/>
                <w:sz w:val="20"/>
                <w:szCs w:val="20"/>
              </w:rPr>
              <w:t>原位高温常压掠入式二维材料XAFS装置</w:t>
            </w:r>
          </w:p>
        </w:tc>
        <w:tc>
          <w:tcPr>
            <w:tcW w:w="4176" w:type="dxa"/>
            <w:tcBorders>
              <w:top w:val="single" w:color="000000" w:sz="4" w:space="0"/>
              <w:left w:val="single" w:color="000000" w:sz="4" w:space="0"/>
              <w:bottom w:val="single" w:color="000000" w:sz="4" w:space="0"/>
              <w:right w:val="single" w:color="000000" w:sz="4" w:space="0"/>
            </w:tcBorders>
            <w:vAlign w:val="center"/>
          </w:tcPr>
          <w:p w14:paraId="787D1564">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1.本设备系统主要由主体腔室（反应腔）、冷却循环系统、气路系统和温度控</w:t>
            </w:r>
          </w:p>
          <w:p w14:paraId="71AA8C38">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制系统（带程序控制）四个主体部分组成。</w:t>
            </w:r>
          </w:p>
          <w:p w14:paraId="3A0617FD">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2.装置能够实现器件或其他材料在常压气氛条件下的加热光催化反应，其中样品台材质选用氮化铝陶瓷，尺寸为 12*12*0.7mm；</w:t>
            </w:r>
          </w:p>
          <w:p w14:paraId="2D759CBA">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3.装置采用台式加热方式对样品进行加热；加热腔体的温度调节范围：</w:t>
            </w:r>
            <w:r>
              <w:rPr>
                <w:rFonts w:ascii="宋体" w:hAnsi="宋体" w:cs="宋体"/>
                <w:color w:val="000000"/>
                <w:sz w:val="20"/>
                <w:szCs w:val="20"/>
              </w:rPr>
              <w:t>RT-900</w:t>
            </w:r>
            <w:r>
              <w:rPr>
                <w:rFonts w:hint="eastAsia" w:ascii="宋体" w:hAnsi="宋体" w:cs="宋体"/>
                <w:color w:val="000000"/>
                <w:sz w:val="20"/>
                <w:szCs w:val="20"/>
              </w:rPr>
              <w:t>℃，控温精度±</w:t>
            </w:r>
            <w:r>
              <w:rPr>
                <w:rFonts w:ascii="宋体" w:hAnsi="宋体" w:cs="宋体"/>
                <w:color w:val="000000"/>
                <w:sz w:val="20"/>
                <w:szCs w:val="20"/>
              </w:rPr>
              <w:t>1</w:t>
            </w:r>
            <w:r>
              <w:rPr>
                <w:rFonts w:hint="eastAsia" w:ascii="宋体" w:hAnsi="宋体" w:cs="宋体"/>
                <w:color w:val="000000"/>
                <w:sz w:val="20"/>
                <w:szCs w:val="20"/>
              </w:rPr>
              <w:t>℃（升温速率</w:t>
            </w:r>
            <w:r>
              <w:rPr>
                <w:rFonts w:ascii="宋体" w:hAnsi="宋体" w:cs="宋体"/>
                <w:color w:val="000000"/>
                <w:sz w:val="20"/>
                <w:szCs w:val="20"/>
              </w:rPr>
              <w:t xml:space="preserve"> 10</w:t>
            </w:r>
            <w:r>
              <w:rPr>
                <w:rFonts w:hint="eastAsia" w:ascii="宋体" w:hAnsi="宋体" w:cs="宋体"/>
                <w:color w:val="000000"/>
                <w:sz w:val="20"/>
                <w:szCs w:val="20"/>
              </w:rPr>
              <w:t>℃</w:t>
            </w:r>
            <w:r>
              <w:rPr>
                <w:rFonts w:ascii="宋体" w:hAnsi="宋体" w:cs="宋体"/>
                <w:color w:val="000000"/>
                <w:sz w:val="20"/>
                <w:szCs w:val="20"/>
              </w:rPr>
              <w:t>/min</w:t>
            </w:r>
            <w:r>
              <w:rPr>
                <w:rFonts w:hint="eastAsia" w:ascii="宋体" w:hAnsi="宋体" w:cs="宋体"/>
                <w:color w:val="000000"/>
                <w:sz w:val="20"/>
                <w:szCs w:val="20"/>
              </w:rPr>
              <w:t>），500℃以下可满足 100℃/min 升温速率（控温精度较差），采用程序控温；</w:t>
            </w:r>
          </w:p>
          <w:p w14:paraId="140A5E38">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4.上盖的掠入式通光口尺寸为</w:t>
            </w:r>
            <w:r>
              <w:rPr>
                <w:rFonts w:ascii="宋体" w:hAnsi="宋体" w:cs="宋体"/>
                <w:color w:val="000000"/>
                <w:sz w:val="20"/>
                <w:szCs w:val="20"/>
              </w:rPr>
              <w:t xml:space="preserve"> 25*20mm</w:t>
            </w:r>
            <w:r>
              <w:rPr>
                <w:rFonts w:hint="eastAsia" w:ascii="宋体" w:hAnsi="宋体" w:cs="宋体"/>
                <w:color w:val="000000"/>
                <w:sz w:val="20"/>
                <w:szCs w:val="20"/>
              </w:rPr>
              <w:t>，窗口材质选用铍；</w:t>
            </w:r>
          </w:p>
          <w:p w14:paraId="6CCD4B3B">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5.上盖的荧光窗口满足</w:t>
            </w:r>
            <w:r>
              <w:rPr>
                <w:rFonts w:ascii="宋体" w:hAnsi="宋体" w:cs="宋体"/>
                <w:color w:val="000000"/>
                <w:sz w:val="20"/>
                <w:szCs w:val="20"/>
              </w:rPr>
              <w:t xml:space="preserve"> 0</w:t>
            </w:r>
            <w:r>
              <w:rPr>
                <w:rFonts w:hint="eastAsia" w:ascii="宋体" w:hAnsi="宋体" w:cs="宋体"/>
                <w:color w:val="000000"/>
                <w:sz w:val="20"/>
                <w:szCs w:val="20"/>
              </w:rPr>
              <w:t>≤</w:t>
            </w:r>
            <w:r>
              <w:rPr>
                <w:rFonts w:ascii="宋体" w:hAnsi="宋体" w:cs="宋体"/>
                <w:color w:val="000000"/>
                <w:sz w:val="20"/>
                <w:szCs w:val="20"/>
              </w:rPr>
              <w:t>2θ</w:t>
            </w:r>
            <w:r>
              <w:rPr>
                <w:rFonts w:hint="eastAsia" w:ascii="宋体" w:hAnsi="宋体" w:cs="宋体"/>
                <w:color w:val="000000"/>
                <w:sz w:val="20"/>
                <w:szCs w:val="20"/>
              </w:rPr>
              <w:t>≤</w:t>
            </w:r>
            <w:r>
              <w:rPr>
                <w:rFonts w:ascii="宋体" w:hAnsi="宋体" w:cs="宋体"/>
                <w:color w:val="000000"/>
                <w:sz w:val="20"/>
                <w:szCs w:val="20"/>
              </w:rPr>
              <w:t>45°</w:t>
            </w:r>
            <w:r>
              <w:rPr>
                <w:rFonts w:hint="eastAsia" w:ascii="宋体" w:hAnsi="宋体" w:cs="宋体"/>
                <w:color w:val="000000"/>
                <w:sz w:val="20"/>
                <w:szCs w:val="20"/>
              </w:rPr>
              <w:t>，材质可选用</w:t>
            </w:r>
            <w:r>
              <w:rPr>
                <w:rFonts w:ascii="宋体" w:hAnsi="宋体" w:cs="宋体"/>
                <w:color w:val="000000"/>
                <w:sz w:val="20"/>
                <w:szCs w:val="20"/>
              </w:rPr>
              <w:t xml:space="preserve"> Kapton </w:t>
            </w:r>
            <w:r>
              <w:rPr>
                <w:rFonts w:hint="eastAsia" w:ascii="宋体" w:hAnsi="宋体" w:cs="宋体"/>
                <w:color w:val="000000"/>
                <w:sz w:val="20"/>
                <w:szCs w:val="20"/>
              </w:rPr>
              <w:t>膜或氮化硼；</w:t>
            </w:r>
          </w:p>
          <w:p w14:paraId="1ACBFBD0">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6.样品的</w:t>
            </w:r>
            <w:r>
              <w:rPr>
                <w:rFonts w:ascii="宋体" w:hAnsi="宋体" w:cs="宋体"/>
                <w:color w:val="000000"/>
                <w:sz w:val="20"/>
                <w:szCs w:val="20"/>
              </w:rPr>
              <w:t xml:space="preserve"> 45°</w:t>
            </w:r>
            <w:r>
              <w:rPr>
                <w:rFonts w:hint="eastAsia" w:ascii="宋体" w:hAnsi="宋体" w:cs="宋体"/>
                <w:color w:val="000000"/>
                <w:sz w:val="20"/>
                <w:szCs w:val="20"/>
              </w:rPr>
              <w:t>方向设置光催化窗口，可连接光纤，通光尺寸为φ</w:t>
            </w:r>
            <w:r>
              <w:rPr>
                <w:rFonts w:ascii="宋体" w:hAnsi="宋体" w:cs="宋体"/>
                <w:color w:val="000000"/>
                <w:sz w:val="20"/>
                <w:szCs w:val="20"/>
              </w:rPr>
              <w:t>10mm</w:t>
            </w:r>
            <w:r>
              <w:rPr>
                <w:rFonts w:hint="eastAsia" w:ascii="宋体" w:hAnsi="宋体" w:cs="宋体"/>
                <w:color w:val="000000"/>
                <w:sz w:val="20"/>
                <w:szCs w:val="20"/>
              </w:rPr>
              <w:t>；</w:t>
            </w:r>
          </w:p>
          <w:p w14:paraId="1E882B43">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7.主体腔室设置</w:t>
            </w:r>
            <w:r>
              <w:rPr>
                <w:rFonts w:ascii="宋体" w:hAnsi="宋体" w:cs="宋体"/>
                <w:color w:val="000000"/>
                <w:sz w:val="20"/>
                <w:szCs w:val="20"/>
              </w:rPr>
              <w:t xml:space="preserve"> 4 </w:t>
            </w:r>
            <w:r>
              <w:rPr>
                <w:rFonts w:hint="eastAsia" w:ascii="宋体" w:hAnsi="宋体" w:cs="宋体"/>
                <w:color w:val="000000"/>
                <w:sz w:val="20"/>
                <w:szCs w:val="20"/>
              </w:rPr>
              <w:t>个</w:t>
            </w:r>
            <w:r>
              <w:rPr>
                <w:rFonts w:ascii="宋体" w:hAnsi="宋体" w:cs="宋体"/>
                <w:color w:val="000000"/>
                <w:sz w:val="20"/>
                <w:szCs w:val="20"/>
              </w:rPr>
              <w:t xml:space="preserve"> SMA </w:t>
            </w:r>
            <w:r>
              <w:rPr>
                <w:rFonts w:hint="eastAsia" w:ascii="宋体" w:hAnsi="宋体" w:cs="宋体"/>
                <w:color w:val="000000"/>
                <w:sz w:val="20"/>
                <w:szCs w:val="20"/>
              </w:rPr>
              <w:t>接头，内外连接电极线可进行电学测试；</w:t>
            </w:r>
          </w:p>
          <w:p w14:paraId="68F074DE">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8.主体腔室配备了气路接头，可通过外接气路系统实现常压气氛测试；</w:t>
            </w:r>
          </w:p>
          <w:p w14:paraId="250643FB">
            <w:pPr>
              <w:widowControl/>
              <w:spacing w:line="240" w:lineRule="auto"/>
              <w:ind w:firstLine="0"/>
              <w:jc w:val="left"/>
              <w:textAlignment w:val="center"/>
              <w:rPr>
                <w:rFonts w:hint="eastAsia" w:ascii="宋体" w:hAnsi="宋体" w:cs="宋体"/>
                <w:color w:val="000000"/>
                <w:sz w:val="20"/>
                <w:szCs w:val="20"/>
              </w:rPr>
            </w:pPr>
            <w:r>
              <w:rPr>
                <w:rFonts w:hint="eastAsia" w:ascii="宋体" w:hAnsi="宋体" w:cs="宋体"/>
                <w:color w:val="000000"/>
                <w:sz w:val="20"/>
                <w:szCs w:val="20"/>
              </w:rPr>
              <w:t>9.主体腔室外壳及上盖均设有水冷层，配备冷却水循环机保证实验人员安全。</w:t>
            </w:r>
          </w:p>
        </w:tc>
        <w:tc>
          <w:tcPr>
            <w:tcW w:w="451" w:type="dxa"/>
            <w:tcBorders>
              <w:top w:val="single" w:color="000000" w:sz="4" w:space="0"/>
              <w:left w:val="single" w:color="000000" w:sz="4" w:space="0"/>
              <w:bottom w:val="single" w:color="000000" w:sz="4" w:space="0"/>
              <w:right w:val="single" w:color="000000" w:sz="4" w:space="0"/>
            </w:tcBorders>
            <w:noWrap/>
            <w:vAlign w:val="center"/>
          </w:tcPr>
          <w:p w14:paraId="7C6ACD32">
            <w:pPr>
              <w:widowControl/>
              <w:spacing w:line="240" w:lineRule="auto"/>
              <w:ind w:firstLine="0"/>
              <w:textAlignment w:val="center"/>
              <w:rPr>
                <w:rFonts w:hint="eastAsia" w:ascii="宋体" w:hAnsi="宋体" w:cs="宋体"/>
                <w:color w:val="000000"/>
                <w:sz w:val="20"/>
                <w:szCs w:val="20"/>
              </w:rPr>
            </w:pPr>
            <w:r>
              <w:rPr>
                <w:rFonts w:hint="eastAsia" w:ascii="宋体" w:hAnsi="宋体" w:cs="宋体"/>
                <w:color w:val="000000"/>
                <w:sz w:val="20"/>
                <w:szCs w:val="20"/>
              </w:rPr>
              <w:t>1</w:t>
            </w:r>
          </w:p>
        </w:tc>
        <w:tc>
          <w:tcPr>
            <w:tcW w:w="390" w:type="dxa"/>
            <w:tcBorders>
              <w:top w:val="single" w:color="000000" w:sz="4" w:space="0"/>
              <w:left w:val="single" w:color="000000" w:sz="4" w:space="0"/>
              <w:bottom w:val="single" w:color="000000" w:sz="4" w:space="0"/>
              <w:right w:val="single" w:color="000000" w:sz="4" w:space="0"/>
            </w:tcBorders>
            <w:noWrap/>
            <w:vAlign w:val="center"/>
          </w:tcPr>
          <w:p w14:paraId="284EEF47">
            <w:pPr>
              <w:widowControl/>
              <w:spacing w:line="240" w:lineRule="auto"/>
              <w:ind w:firstLine="0"/>
              <w:textAlignment w:val="center"/>
              <w:rPr>
                <w:rFonts w:hint="eastAsia" w:ascii="宋体" w:hAnsi="宋体" w:cs="宋体"/>
                <w:color w:val="000000"/>
                <w:sz w:val="20"/>
                <w:szCs w:val="20"/>
              </w:rPr>
            </w:pPr>
            <w:bookmarkStart w:id="3" w:name="_GoBack"/>
            <w:r>
              <w:rPr>
                <w:rFonts w:hint="eastAsia" w:ascii="宋体" w:hAnsi="宋体" w:cs="宋体"/>
                <w:color w:val="000000"/>
                <w:sz w:val="20"/>
                <w:szCs w:val="20"/>
              </w:rPr>
              <w:t>个</w:t>
            </w:r>
            <w:bookmarkEnd w:id="3"/>
          </w:p>
        </w:tc>
        <w:tc>
          <w:tcPr>
            <w:tcW w:w="630" w:type="dxa"/>
            <w:tcBorders>
              <w:top w:val="single" w:color="000000" w:sz="4" w:space="0"/>
              <w:left w:val="single" w:color="000000" w:sz="4" w:space="0"/>
              <w:bottom w:val="single" w:color="000000" w:sz="4" w:space="0"/>
              <w:right w:val="single" w:color="000000" w:sz="4" w:space="0"/>
            </w:tcBorders>
            <w:noWrap/>
            <w:vAlign w:val="center"/>
          </w:tcPr>
          <w:p w14:paraId="773E30DC">
            <w:pPr>
              <w:widowControl/>
              <w:spacing w:line="240" w:lineRule="auto"/>
              <w:ind w:firstLine="0"/>
              <w:textAlignment w:val="center"/>
              <w:rPr>
                <w:rFonts w:hint="eastAsia" w:ascii="宋体" w:hAnsi="宋体" w:cs="宋体"/>
                <w:color w:val="000000"/>
                <w:sz w:val="20"/>
                <w:szCs w:val="20"/>
              </w:rPr>
            </w:pPr>
            <w:r>
              <w:rPr>
                <w:rFonts w:hint="eastAsia" w:ascii="宋体" w:hAnsi="宋体" w:cs="宋体"/>
                <w:color w:val="000000"/>
                <w:sz w:val="20"/>
                <w:szCs w:val="20"/>
              </w:rPr>
              <w:t>110000</w:t>
            </w:r>
          </w:p>
        </w:tc>
        <w:tc>
          <w:tcPr>
            <w:tcW w:w="711" w:type="dxa"/>
            <w:tcBorders>
              <w:top w:val="single" w:color="000000" w:sz="4" w:space="0"/>
              <w:left w:val="single" w:color="000000" w:sz="4" w:space="0"/>
              <w:bottom w:val="single" w:color="000000" w:sz="4" w:space="0"/>
              <w:right w:val="single" w:color="000000" w:sz="4" w:space="0"/>
            </w:tcBorders>
            <w:noWrap/>
            <w:vAlign w:val="center"/>
          </w:tcPr>
          <w:p w14:paraId="27E55F5C">
            <w:pPr>
              <w:widowControl/>
              <w:spacing w:line="240" w:lineRule="auto"/>
              <w:ind w:firstLine="0"/>
              <w:textAlignment w:val="center"/>
              <w:rPr>
                <w:rFonts w:hint="eastAsia" w:ascii="宋体" w:hAnsi="宋体" w:cs="宋体"/>
                <w:color w:val="000000"/>
                <w:sz w:val="20"/>
                <w:szCs w:val="20"/>
              </w:rPr>
            </w:pPr>
            <w:r>
              <w:rPr>
                <w:rFonts w:hint="eastAsia" w:ascii="宋体" w:hAnsi="宋体" w:cs="宋体"/>
                <w:color w:val="000000"/>
                <w:sz w:val="20"/>
                <w:szCs w:val="20"/>
              </w:rPr>
              <w:t>110000</w:t>
            </w:r>
          </w:p>
        </w:tc>
        <w:tc>
          <w:tcPr>
            <w:tcW w:w="2468" w:type="dxa"/>
            <w:tcBorders>
              <w:top w:val="single" w:color="auto" w:sz="4" w:space="0"/>
              <w:left w:val="single" w:color="000000" w:sz="4" w:space="0"/>
              <w:bottom w:val="single" w:color="auto" w:sz="4" w:space="0"/>
              <w:right w:val="single" w:color="000000" w:sz="4" w:space="0"/>
            </w:tcBorders>
            <w:noWrap/>
            <w:vAlign w:val="center"/>
          </w:tcPr>
          <w:p w14:paraId="25881494">
            <w:pPr>
              <w:spacing w:line="240" w:lineRule="auto"/>
              <w:jc w:val="left"/>
              <w:rPr>
                <w:rFonts w:hint="eastAsia" w:ascii="宋体" w:hAnsi="宋体" w:cs="宋体"/>
                <w:b/>
                <w:bCs/>
                <w:color w:val="000000"/>
                <w:sz w:val="20"/>
                <w:szCs w:val="20"/>
              </w:rPr>
            </w:pPr>
            <w:r>
              <w:rPr>
                <w:rFonts w:ascii="宋体" w:hAnsi="宋体" w:cs="宋体"/>
                <w:b/>
                <w:bCs/>
                <w:color w:val="000000"/>
                <w:sz w:val="20"/>
                <w:szCs w:val="20"/>
              </w:rPr>
              <w:drawing>
                <wp:anchor distT="0" distB="0" distL="0" distR="0" simplePos="0" relativeHeight="251659264" behindDoc="0" locked="0" layoutInCell="1" allowOverlap="1">
                  <wp:simplePos x="0" y="0"/>
                  <wp:positionH relativeFrom="column">
                    <wp:posOffset>266700</wp:posOffset>
                  </wp:positionH>
                  <wp:positionV relativeFrom="paragraph">
                    <wp:posOffset>3175</wp:posOffset>
                  </wp:positionV>
                  <wp:extent cx="1430020" cy="1886585"/>
                  <wp:effectExtent l="0" t="0" r="17780" b="1841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1430020" cy="1886585"/>
                          </a:xfrm>
                          <a:prstGeom prst="rect">
                            <a:avLst/>
                          </a:prstGeom>
                        </pic:spPr>
                      </pic:pic>
                    </a:graphicData>
                  </a:graphic>
                </wp:anchor>
              </w:drawing>
            </w:r>
          </w:p>
        </w:tc>
        <w:tc>
          <w:tcPr>
            <w:tcW w:w="650" w:type="dxa"/>
            <w:tcBorders>
              <w:top w:val="single" w:color="auto" w:sz="4" w:space="0"/>
              <w:left w:val="single" w:color="000000" w:sz="4" w:space="0"/>
              <w:bottom w:val="single" w:color="auto" w:sz="4" w:space="0"/>
              <w:right w:val="single" w:color="000000" w:sz="4" w:space="0"/>
            </w:tcBorders>
            <w:noWrap/>
            <w:vAlign w:val="center"/>
          </w:tcPr>
          <w:p w14:paraId="708A4888">
            <w:pPr>
              <w:widowControl/>
              <w:spacing w:line="240" w:lineRule="auto"/>
              <w:ind w:firstLine="0"/>
              <w:jc w:val="left"/>
              <w:textAlignment w:val="center"/>
              <w:rPr>
                <w:rFonts w:hint="eastAsia" w:ascii="宋体" w:hAnsi="宋体" w:cs="宋体"/>
                <w:b/>
                <w:bCs/>
                <w:color w:val="000000"/>
                <w:sz w:val="20"/>
                <w:szCs w:val="20"/>
              </w:rPr>
            </w:pPr>
            <w:r>
              <w:rPr>
                <w:rFonts w:hint="eastAsia" w:ascii="宋体" w:hAnsi="宋体" w:cs="宋体"/>
                <w:b/>
                <w:bCs/>
                <w:color w:val="000000"/>
                <w:sz w:val="20"/>
                <w:szCs w:val="20"/>
              </w:rPr>
              <w:t>定制产品</w:t>
            </w:r>
          </w:p>
        </w:tc>
      </w:tr>
    </w:tbl>
    <w:p w14:paraId="1F2E06AB">
      <w:pPr>
        <w:ind w:firstLine="0"/>
        <w:rPr>
          <w:b/>
          <w:bCs/>
          <w:szCs w:val="21"/>
        </w:rPr>
      </w:pPr>
    </w:p>
    <w:p w14:paraId="43C29E5F">
      <w:pPr>
        <w:ind w:firstLine="0"/>
        <w:rPr>
          <w:b/>
          <w:bCs/>
          <w:szCs w:val="21"/>
        </w:rPr>
      </w:pPr>
    </w:p>
    <w:p w14:paraId="1C426A98">
      <w:pPr>
        <w:widowControl/>
        <w:spacing w:before="199" w:after="450" w:line="450" w:lineRule="atLeast"/>
        <w:ind w:firstLine="0"/>
        <w:jc w:val="left"/>
        <w:outlineLvl w:val="1"/>
        <w:rPr>
          <w:color w:val="000000"/>
        </w:rPr>
      </w:pPr>
      <w:r>
        <w:rPr>
          <w:rFonts w:hint="eastAsia" w:ascii="微软雅黑" w:hAnsi="微软雅黑" w:eastAsia="微软雅黑" w:cs="宋体"/>
          <w:b/>
          <w:bCs/>
          <w:sz w:val="36"/>
          <w:szCs w:val="36"/>
        </w:rPr>
        <w:t>二、相关要求</w:t>
      </w:r>
    </w:p>
    <w:p w14:paraId="3B001905">
      <w:pPr>
        <w:numPr>
          <w:ilvl w:val="0"/>
          <w:numId w:val="2"/>
        </w:numPr>
        <w:rPr>
          <w:rFonts w:hint="eastAsia" w:ascii="宋体" w:hAnsi="宋体" w:cs="宋体"/>
          <w:szCs w:val="21"/>
        </w:rPr>
      </w:pPr>
      <w:bookmarkStart w:id="0" w:name="bookmark2"/>
      <w:bookmarkStart w:id="1" w:name="bookmark0"/>
      <w:bookmarkStart w:id="2" w:name="bookmark1"/>
      <w:r>
        <w:rPr>
          <w:rFonts w:hint="eastAsia" w:ascii="宋体" w:hAnsi="宋体"/>
        </w:rPr>
        <w:t>报价方式：</w:t>
      </w:r>
      <w:r>
        <w:rPr>
          <w:rFonts w:hint="eastAsia" w:ascii="宋体" w:hAnsi="宋体" w:cs="宋体"/>
          <w:szCs w:val="21"/>
        </w:rPr>
        <w:t>本次报价方式报总价，提供分项报价。综合单价中应包包含商品到达采购人指定地点并能正常使用所需的一切费用，包括但不限于商品购置费、包装费、运输费、装卸费、保险费、安装调试费、技术服务费、培训费以及保修费、税费等一切费用。</w:t>
      </w:r>
    </w:p>
    <w:p w14:paraId="0DCC9974">
      <w:pPr>
        <w:numPr>
          <w:ilvl w:val="0"/>
          <w:numId w:val="2"/>
        </w:numPr>
        <w:rPr>
          <w:rFonts w:hint="eastAsia" w:ascii="宋体" w:hAnsi="宋体" w:cs="宋体"/>
          <w:szCs w:val="21"/>
        </w:rPr>
      </w:pPr>
      <w:r>
        <w:rPr>
          <w:rFonts w:hint="eastAsia" w:ascii="宋体" w:hAnsi="宋体" w:cs="宋体"/>
          <w:szCs w:val="21"/>
          <w:highlight w:val="yellow"/>
        </w:rPr>
        <w:t>质保期</w:t>
      </w:r>
      <w:r>
        <w:rPr>
          <w:rFonts w:hint="eastAsia" w:ascii="宋体" w:hAnsi="宋体" w:cs="宋体"/>
          <w:szCs w:val="21"/>
        </w:rPr>
        <w:t>：验收合格后，提供不少于</w:t>
      </w:r>
      <w:r>
        <w:rPr>
          <w:rFonts w:hint="eastAsia" w:ascii="宋体" w:hAnsi="宋体" w:cs="宋体"/>
          <w:szCs w:val="21"/>
          <w:highlight w:val="yellow"/>
        </w:rPr>
        <w:t>1年的免费产品质保</w:t>
      </w:r>
      <w:r>
        <w:rPr>
          <w:rFonts w:hint="eastAsia" w:ascii="宋体" w:hAnsi="宋体" w:cs="宋体"/>
          <w:szCs w:val="21"/>
        </w:rPr>
        <w:t>。</w:t>
      </w:r>
    </w:p>
    <w:p w14:paraId="7D27B94D">
      <w:pPr>
        <w:numPr>
          <w:ilvl w:val="0"/>
          <w:numId w:val="2"/>
        </w:numPr>
        <w:rPr>
          <w:rFonts w:hint="eastAsia" w:ascii="宋体" w:hAnsi="宋体" w:cs="宋体"/>
          <w:szCs w:val="21"/>
        </w:rPr>
      </w:pPr>
      <w:r>
        <w:rPr>
          <w:rFonts w:hint="eastAsia" w:ascii="宋体" w:hAnsi="宋体" w:cs="宋体"/>
          <w:szCs w:val="21"/>
          <w:highlight w:val="yellow"/>
        </w:rPr>
        <w:t>供货期</w:t>
      </w:r>
      <w:r>
        <w:rPr>
          <w:rFonts w:hint="eastAsia" w:ascii="宋体" w:hAnsi="宋体" w:cs="宋体"/>
          <w:szCs w:val="21"/>
        </w:rPr>
        <w:t>：合同签订后，</w:t>
      </w:r>
      <w:r>
        <w:rPr>
          <w:rFonts w:hint="eastAsia" w:ascii="宋体" w:hAnsi="宋体" w:cs="宋体"/>
          <w:szCs w:val="21"/>
          <w:highlight w:val="yellow"/>
        </w:rPr>
        <w:t>供货商接到发货通知后，90个工作日内</w:t>
      </w:r>
      <w:r>
        <w:rPr>
          <w:rFonts w:hint="eastAsia" w:ascii="宋体" w:hAnsi="宋体" w:cs="宋体"/>
          <w:szCs w:val="21"/>
        </w:rPr>
        <w:t xml:space="preserve">将合格货物及时送达甲方指定的地点并完成安装摆放调试，如未按采购人指定技术参数及款式提供样品或不按规定时间安装到位的，采购方有权终止合同。 </w:t>
      </w:r>
    </w:p>
    <w:p w14:paraId="77FCA7B8">
      <w:pPr>
        <w:pStyle w:val="6"/>
        <w:numPr>
          <w:ilvl w:val="0"/>
          <w:numId w:val="2"/>
        </w:numPr>
        <w:spacing w:line="360" w:lineRule="auto"/>
        <w:rPr>
          <w:rFonts w:hint="eastAsia" w:ascii="宋体" w:hAnsi="宋体"/>
        </w:rPr>
      </w:pPr>
      <w:r>
        <w:rPr>
          <w:rFonts w:hint="eastAsia" w:ascii="宋体" w:hAnsi="宋体" w:cs="宋体"/>
          <w:highlight w:val="yellow"/>
        </w:rPr>
        <w:t>售后服务</w:t>
      </w:r>
      <w:r>
        <w:rPr>
          <w:rFonts w:hint="eastAsia" w:ascii="宋体" w:hAnsi="宋体" w:cs="宋体"/>
        </w:rPr>
        <w:t>：</w:t>
      </w:r>
      <w:r>
        <w:rPr>
          <w:rFonts w:hint="eastAsia" w:ascii="宋体" w:hAnsi="宋体" w:cs="宋体"/>
          <w:highlight w:val="yellow"/>
        </w:rPr>
        <w:t>温州有售后服务点，若报修，乙方应在3小时内派遣相关人员赶赴现场，24小时内维修完毕；发生紧急抢修事故的，乙方应在接到甲方通知后1.5小时内到达现场抢修，并于到达现场12小时之内排除故障。乙方未在约定时间内修复的或同一货物经3次维修后仍不能稳定、可靠运行的，甲方有权要求乙方免费更换。返修或更换后的部件保修</w:t>
      </w:r>
      <w:r>
        <w:rPr>
          <w:rFonts w:hint="eastAsia" w:ascii="宋体" w:hAnsi="宋体"/>
          <w:highlight w:val="yellow"/>
        </w:rPr>
        <w:t>期应重新计算</w:t>
      </w:r>
      <w:r>
        <w:rPr>
          <w:rFonts w:hint="eastAsia" w:ascii="宋体" w:hAnsi="宋体"/>
        </w:rPr>
        <w:t>。</w:t>
      </w:r>
    </w:p>
    <w:p w14:paraId="32BB3BA6">
      <w:pPr>
        <w:pStyle w:val="6"/>
        <w:numPr>
          <w:ilvl w:val="0"/>
          <w:numId w:val="2"/>
        </w:numPr>
        <w:spacing w:line="360" w:lineRule="auto"/>
        <w:rPr>
          <w:rFonts w:hint="eastAsia" w:ascii="宋体" w:hAnsi="宋体"/>
        </w:rPr>
      </w:pPr>
      <w:r>
        <w:rPr>
          <w:rFonts w:hint="eastAsia" w:ascii="宋体" w:hAnsi="宋体"/>
          <w:highlight w:val="yellow"/>
        </w:rPr>
        <w:t>到货地点</w:t>
      </w:r>
      <w:r>
        <w:rPr>
          <w:rFonts w:hint="eastAsia" w:ascii="宋体" w:hAnsi="宋体"/>
        </w:rPr>
        <w:t>：</w:t>
      </w:r>
      <w:r>
        <w:rPr>
          <w:rFonts w:hint="eastAsia" w:ascii="宋体" w:hAnsi="宋体"/>
          <w:highlight w:val="yellow"/>
        </w:rPr>
        <w:t>浙江大学温州研究院指定地点</w:t>
      </w:r>
      <w:r>
        <w:rPr>
          <w:rFonts w:hint="eastAsia" w:ascii="宋体" w:hAnsi="宋体"/>
        </w:rPr>
        <w:t>。</w:t>
      </w:r>
    </w:p>
    <w:p w14:paraId="53EC283E">
      <w:pPr>
        <w:pStyle w:val="6"/>
        <w:numPr>
          <w:ilvl w:val="0"/>
          <w:numId w:val="2"/>
        </w:numPr>
        <w:spacing w:line="360" w:lineRule="auto"/>
        <w:rPr>
          <w:rFonts w:hint="eastAsia" w:ascii="宋体" w:hAnsi="宋体"/>
        </w:rPr>
        <w:sectPr>
          <w:headerReference r:id="rId8" w:type="first"/>
          <w:footerReference r:id="rId10" w:type="first"/>
          <w:headerReference r:id="rId7" w:type="default"/>
          <w:footerReference r:id="rId9" w:type="default"/>
          <w:pgSz w:w="11906" w:h="16838"/>
          <w:pgMar w:top="1240" w:right="1800" w:bottom="1440" w:left="1800" w:header="851" w:footer="992" w:gutter="0"/>
          <w:pgNumType w:start="5"/>
          <w:cols w:space="720" w:num="1"/>
          <w:titlePg/>
          <w:docGrid w:type="lines" w:linePitch="312" w:charSpace="0"/>
        </w:sectPr>
      </w:pPr>
      <w:r>
        <w:rPr>
          <w:rFonts w:hint="eastAsia" w:ascii="宋体" w:hAnsi="宋体"/>
        </w:rPr>
        <w:t>对规格参数要求有任何疑问，请联系需求人</w:t>
      </w:r>
      <w:r>
        <w:rPr>
          <w:rFonts w:hint="eastAsia" w:ascii="宋体" w:hAnsi="宋体"/>
          <w:highlight w:val="yellow"/>
        </w:rPr>
        <w:t>毛佳宁：18852082231</w:t>
      </w:r>
    </w:p>
    <w:p w14:paraId="25D0C3AB">
      <w:pPr>
        <w:widowControl/>
        <w:spacing w:before="199" w:after="450" w:line="450" w:lineRule="atLeast"/>
        <w:ind w:firstLine="0"/>
        <w:jc w:val="left"/>
        <w:outlineLvl w:val="1"/>
        <w:rPr>
          <w:rFonts w:hint="eastAsia" w:ascii="微软雅黑" w:hAnsi="微软雅黑" w:eastAsia="微软雅黑" w:cs="宋体"/>
          <w:b/>
          <w:bCs/>
          <w:sz w:val="36"/>
          <w:szCs w:val="36"/>
        </w:rPr>
      </w:pPr>
      <w:r>
        <w:rPr>
          <w:rFonts w:hint="eastAsia" w:ascii="微软雅黑" w:hAnsi="微软雅黑" w:eastAsia="微软雅黑" w:cs="宋体"/>
          <w:b/>
          <w:bCs/>
          <w:sz w:val="36"/>
          <w:szCs w:val="36"/>
        </w:rPr>
        <w:t>三、响应须知</w:t>
      </w:r>
    </w:p>
    <w:bookmarkEnd w:id="0"/>
    <w:bookmarkEnd w:id="1"/>
    <w:bookmarkEnd w:id="2"/>
    <w:p w14:paraId="54EF353C">
      <w:pPr>
        <w:numPr>
          <w:ilvl w:val="0"/>
          <w:numId w:val="3"/>
        </w:numPr>
        <w:tabs>
          <w:tab w:val="left" w:pos="312"/>
        </w:tabs>
        <w:rPr>
          <w:b/>
        </w:rPr>
      </w:pPr>
      <w:r>
        <w:rPr>
          <w:rFonts w:hint="eastAsia" w:ascii="宋体" w:hAnsi="宋体"/>
          <w:b/>
        </w:rPr>
        <w:t>所有报价供应商均为认同并遵守本在线询价中的所有要求。</w:t>
      </w:r>
    </w:p>
    <w:p w14:paraId="77DA2EE3">
      <w:pPr>
        <w:numPr>
          <w:ilvl w:val="0"/>
          <w:numId w:val="3"/>
        </w:numPr>
        <w:tabs>
          <w:tab w:val="left" w:pos="312"/>
        </w:tabs>
        <w:rPr>
          <w:b/>
        </w:rPr>
      </w:pPr>
      <w:r>
        <w:rPr>
          <w:rFonts w:hint="eastAsia"/>
          <w:b/>
        </w:rPr>
        <w:t>中标供应商如因自身原因放弃项目的中标资格或者拒签合同的，原则上不得参加对该项目重新开展的采购活动。</w:t>
      </w:r>
    </w:p>
    <w:p w14:paraId="0845B07B">
      <w:pPr>
        <w:numPr>
          <w:ilvl w:val="0"/>
          <w:numId w:val="3"/>
        </w:numPr>
        <w:tabs>
          <w:tab w:val="left" w:pos="312"/>
        </w:tabs>
        <w:rPr>
          <w:b/>
        </w:rPr>
      </w:pPr>
      <w:r>
        <w:rPr>
          <w:rFonts w:hint="eastAsia" w:ascii="宋体" w:hAnsi="宋体"/>
          <w:b/>
        </w:rPr>
        <w:t>针对上述要求，报价单位必须认真审核本在线询价采购文件中的所有要求。</w:t>
      </w:r>
    </w:p>
    <w:p w14:paraId="74901574">
      <w:pPr>
        <w:tabs>
          <w:tab w:val="left" w:pos="-200"/>
          <w:tab w:val="left" w:pos="0"/>
        </w:tabs>
        <w:spacing w:line="240" w:lineRule="auto"/>
        <w:rPr>
          <w:rFonts w:hint="eastAsia" w:ascii="宋体" w:hAnsi="宋体"/>
          <w:b/>
        </w:rPr>
      </w:pPr>
      <w:r>
        <w:rPr>
          <w:rFonts w:hint="eastAsia" w:ascii="宋体" w:hAnsi="宋体"/>
          <w:b/>
        </w:rPr>
        <w:t>报价供应商需将</w:t>
      </w:r>
      <w:r>
        <w:rPr>
          <w:rFonts w:hint="eastAsia" w:ascii="宋体" w:hAnsi="宋体"/>
          <w:b/>
          <w:highlight w:val="yellow"/>
        </w:rPr>
        <w:t>加盖公章的合格有效的企业营业执照复印件、报价单（附件2）文件</w:t>
      </w:r>
      <w:r>
        <w:rPr>
          <w:rFonts w:hint="eastAsia" w:ascii="宋体" w:hAnsi="宋体"/>
          <w:b/>
        </w:rPr>
        <w:t>发送至邮箱zdwzyjy2023@163.com，未按要求提交的供应商，采购人可按无效响应处理。</w:t>
      </w:r>
    </w:p>
    <w:p w14:paraId="24E667CE">
      <w:pPr>
        <w:tabs>
          <w:tab w:val="left" w:pos="-200"/>
          <w:tab w:val="left" w:pos="0"/>
        </w:tabs>
        <w:spacing w:line="240" w:lineRule="auto"/>
        <w:rPr>
          <w:rFonts w:hint="eastAsia" w:ascii="宋体" w:hAnsi="宋体"/>
          <w:b/>
        </w:rPr>
      </w:pPr>
    </w:p>
    <w:p w14:paraId="058C3556">
      <w:pPr>
        <w:ind w:firstLine="0"/>
        <w:rPr>
          <w:w w:val="95"/>
        </w:rPr>
      </w:pPr>
    </w:p>
    <w:sectPr>
      <w:headerReference r:id="rId11" w:type="default"/>
      <w:footerReference r:id="rId12" w:type="default"/>
      <w:pgSz w:w="16838" w:h="11906" w:orient="landscape"/>
      <w:pgMar w:top="1800" w:right="851"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5E9A4">
    <w:pPr>
      <w:pStyle w:val="10"/>
      <w:jc w:val="center"/>
    </w:pPr>
  </w:p>
  <w:p w14:paraId="0D01010A">
    <w:pPr>
      <w:pStyle w:val="10"/>
    </w:pPr>
  </w:p>
  <w:p w14:paraId="7A91828B">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45DA9">
    <w:pPr>
      <w:pStyle w:val="10"/>
      <w:jc w:val="right"/>
    </w:pPr>
  </w:p>
  <w:p w14:paraId="1DF9F111">
    <w:pPr>
      <w:pStyle w:val="1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E6D38">
    <w:pPr>
      <w:pStyle w:val="1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501B">
    <w:pPr>
      <w:pStyle w:val="10"/>
      <w:jc w:val="right"/>
    </w:pPr>
  </w:p>
  <w:p w14:paraId="2EB51352">
    <w:pPr>
      <w:pStyle w:val="1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91AA">
    <w:pPr>
      <w:pStyle w:val="11"/>
      <w:pBdr>
        <w:bottom w:val="none" w:color="auto" w:sz="0" w:space="1"/>
      </w:pBdr>
    </w:pPr>
  </w:p>
  <w:p w14:paraId="4C97E253">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E80BA">
    <w:pPr>
      <w:pStyle w:val="11"/>
      <w:pBdr>
        <w:bottom w:val="none" w:color="auto" w:sz="0" w:space="1"/>
      </w:pBd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7104332">
                          <w:pPr>
                            <w:pStyle w:val="11"/>
                          </w:pPr>
                        </w:p>
                      </w:txbxContent>
                    </wps:txbx>
                    <wps:bodyPr vert="horz" wrap="none" lIns="0" tIns="0" rIns="0" bIns="0" anchor="t" anchorCtr="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JXhht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i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LJXhhtwBAADBAwAADgAAAAAAAAAB&#10;ACAAAAAeAQAAZHJzL2Uyb0RvYy54bWxQSwUGAAAAAAYABgBZAQAAbAUAAAAA&#10;">
              <v:fill on="f" focussize="0,0"/>
              <v:stroke on="f"/>
              <v:imagedata o:title=""/>
              <o:lock v:ext="edit" aspectratio="f"/>
              <v:textbox inset="0mm,0mm,0mm,0mm" style="mso-fit-shape-to-text:t;">
                <w:txbxContent>
                  <w:p w14:paraId="27104332">
                    <w:pPr>
                      <w:pStyle w:val="11"/>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A388">
    <w:pPr>
      <w:pStyle w:val="11"/>
      <w:pBdr>
        <w:bottom w:val="none" w:color="auto" w:sz="0" w:space="1"/>
      </w:pBdr>
      <w:tabs>
        <w:tab w:val="center" w:pos="4213"/>
      </w:tabs>
      <w:jc w:val="left"/>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5"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42F5A6A">
                          <w:pPr>
                            <w:pStyle w:val="11"/>
                            <w:jc w:val="both"/>
                          </w:pPr>
                        </w:p>
                      </w:txbxContent>
                    </wps:txbx>
                    <wps:bodyPr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I2fMW9wBAADBAwAADgAAAAAAAAAB&#10;ACAAAAAeAQAAZHJzL2Uyb0RvYy54bWxQSwUGAAAAAAYABgBZAQAAbAUAAAAA&#10;">
              <v:fill on="f" focussize="0,0"/>
              <v:stroke on="f"/>
              <v:imagedata o:title=""/>
              <o:lock v:ext="edit" aspectratio="f"/>
              <v:textbox inset="0mm,0mm,0mm,0mm" style="mso-fit-shape-to-text:t;">
                <w:txbxContent>
                  <w:p w14:paraId="142F5A6A">
                    <w:pPr>
                      <w:pStyle w:val="11"/>
                      <w:jc w:val="both"/>
                    </w:pPr>
                  </w:p>
                </w:txbxContent>
              </v:textbox>
            </v:shape>
          </w:pict>
        </mc:Fallback>
      </mc:AlternateContent>
    </w:r>
    <w:r>
      <w:rPr>
        <w:rFonts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10973">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EDC67"/>
    <w:multiLevelType w:val="singleLevel"/>
    <w:tmpl w:val="9C5EDC67"/>
    <w:lvl w:ilvl="0" w:tentative="0">
      <w:start w:val="1"/>
      <w:numFmt w:val="decimal"/>
      <w:lvlText w:val="%1、"/>
      <w:lvlJc w:val="left"/>
      <w:pPr>
        <w:tabs>
          <w:tab w:val="left" w:pos="312"/>
        </w:tabs>
      </w:pPr>
      <w:rPr>
        <w:rFonts w:ascii="Times New Roman" w:hAnsi="Times New Roman" w:eastAsia="宋体" w:cs="Times New Roman"/>
        <w:b w:val="0"/>
      </w:rPr>
    </w:lvl>
  </w:abstractNum>
  <w:abstractNum w:abstractNumId="1">
    <w:nsid w:val="109604F6"/>
    <w:multiLevelType w:val="multilevel"/>
    <w:tmpl w:val="109604F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0407DC5"/>
    <w:multiLevelType w:val="multilevel"/>
    <w:tmpl w:val="20407DC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jYTRlY2YxM2Q4Yzc0Njc5ODY4NzZlZjBhYmQzOTgifQ=="/>
  </w:docVars>
  <w:rsids>
    <w:rsidRoot w:val="26CC6518"/>
    <w:rsid w:val="0002119A"/>
    <w:rsid w:val="00023689"/>
    <w:rsid w:val="00024D40"/>
    <w:rsid w:val="000415A7"/>
    <w:rsid w:val="00043E8D"/>
    <w:rsid w:val="000526BA"/>
    <w:rsid w:val="00090FF9"/>
    <w:rsid w:val="00094B1E"/>
    <w:rsid w:val="00095A5E"/>
    <w:rsid w:val="000B48CF"/>
    <w:rsid w:val="000C193A"/>
    <w:rsid w:val="000E1534"/>
    <w:rsid w:val="000E6EFF"/>
    <w:rsid w:val="000F5677"/>
    <w:rsid w:val="000F65EB"/>
    <w:rsid w:val="00103E74"/>
    <w:rsid w:val="001049B7"/>
    <w:rsid w:val="0011694E"/>
    <w:rsid w:val="00120883"/>
    <w:rsid w:val="0015331D"/>
    <w:rsid w:val="00154607"/>
    <w:rsid w:val="001760EB"/>
    <w:rsid w:val="00192CB6"/>
    <w:rsid w:val="00194BA2"/>
    <w:rsid w:val="00196D17"/>
    <w:rsid w:val="001C3D1A"/>
    <w:rsid w:val="00216106"/>
    <w:rsid w:val="00221A7F"/>
    <w:rsid w:val="00223B1F"/>
    <w:rsid w:val="00223ECC"/>
    <w:rsid w:val="002252B4"/>
    <w:rsid w:val="002324CD"/>
    <w:rsid w:val="00234FBD"/>
    <w:rsid w:val="00260C38"/>
    <w:rsid w:val="00261458"/>
    <w:rsid w:val="002636B1"/>
    <w:rsid w:val="00273575"/>
    <w:rsid w:val="002A5EAA"/>
    <w:rsid w:val="002C48CF"/>
    <w:rsid w:val="002C4A43"/>
    <w:rsid w:val="002D31F7"/>
    <w:rsid w:val="002E104D"/>
    <w:rsid w:val="002E209E"/>
    <w:rsid w:val="002E7A09"/>
    <w:rsid w:val="002F33B6"/>
    <w:rsid w:val="002F5A66"/>
    <w:rsid w:val="00306560"/>
    <w:rsid w:val="00312803"/>
    <w:rsid w:val="003153A7"/>
    <w:rsid w:val="00315ECF"/>
    <w:rsid w:val="00322575"/>
    <w:rsid w:val="00372D1E"/>
    <w:rsid w:val="00394DA4"/>
    <w:rsid w:val="003A0EBF"/>
    <w:rsid w:val="003C2E32"/>
    <w:rsid w:val="003D6623"/>
    <w:rsid w:val="003F069B"/>
    <w:rsid w:val="003F30B8"/>
    <w:rsid w:val="00410BA4"/>
    <w:rsid w:val="00411220"/>
    <w:rsid w:val="0041178A"/>
    <w:rsid w:val="00413B32"/>
    <w:rsid w:val="00420C71"/>
    <w:rsid w:val="004238B5"/>
    <w:rsid w:val="00447979"/>
    <w:rsid w:val="00467378"/>
    <w:rsid w:val="004A61B0"/>
    <w:rsid w:val="004B3902"/>
    <w:rsid w:val="004C120E"/>
    <w:rsid w:val="004C34DC"/>
    <w:rsid w:val="004F237A"/>
    <w:rsid w:val="004F59B8"/>
    <w:rsid w:val="00523C69"/>
    <w:rsid w:val="005261FF"/>
    <w:rsid w:val="00536335"/>
    <w:rsid w:val="00540571"/>
    <w:rsid w:val="0055298B"/>
    <w:rsid w:val="00554768"/>
    <w:rsid w:val="0056447A"/>
    <w:rsid w:val="005800CB"/>
    <w:rsid w:val="00587FCC"/>
    <w:rsid w:val="00593502"/>
    <w:rsid w:val="005B35F1"/>
    <w:rsid w:val="005C0D79"/>
    <w:rsid w:val="005C7643"/>
    <w:rsid w:val="005D0169"/>
    <w:rsid w:val="005E1ED6"/>
    <w:rsid w:val="00610D80"/>
    <w:rsid w:val="00616EFE"/>
    <w:rsid w:val="00631A5D"/>
    <w:rsid w:val="00636FF0"/>
    <w:rsid w:val="00651067"/>
    <w:rsid w:val="00676825"/>
    <w:rsid w:val="0068356B"/>
    <w:rsid w:val="006A1D10"/>
    <w:rsid w:val="006D2BA5"/>
    <w:rsid w:val="006E564B"/>
    <w:rsid w:val="006F2950"/>
    <w:rsid w:val="006F6D33"/>
    <w:rsid w:val="00722DA5"/>
    <w:rsid w:val="00752334"/>
    <w:rsid w:val="00752EBF"/>
    <w:rsid w:val="00773BA4"/>
    <w:rsid w:val="00774D40"/>
    <w:rsid w:val="00782C7E"/>
    <w:rsid w:val="00795271"/>
    <w:rsid w:val="007B4174"/>
    <w:rsid w:val="007C3402"/>
    <w:rsid w:val="007F13D5"/>
    <w:rsid w:val="007F18C2"/>
    <w:rsid w:val="007F6F05"/>
    <w:rsid w:val="008070AB"/>
    <w:rsid w:val="008137DD"/>
    <w:rsid w:val="00815F97"/>
    <w:rsid w:val="00826DF5"/>
    <w:rsid w:val="008318FD"/>
    <w:rsid w:val="00837385"/>
    <w:rsid w:val="008578BB"/>
    <w:rsid w:val="008640FF"/>
    <w:rsid w:val="00871E0C"/>
    <w:rsid w:val="00873320"/>
    <w:rsid w:val="00882BD6"/>
    <w:rsid w:val="00892AAB"/>
    <w:rsid w:val="00896DD1"/>
    <w:rsid w:val="008A0E19"/>
    <w:rsid w:val="008A6AEF"/>
    <w:rsid w:val="008B7082"/>
    <w:rsid w:val="008E33DF"/>
    <w:rsid w:val="009071C2"/>
    <w:rsid w:val="00927D58"/>
    <w:rsid w:val="009421B9"/>
    <w:rsid w:val="0094663C"/>
    <w:rsid w:val="00952C7D"/>
    <w:rsid w:val="00977FEA"/>
    <w:rsid w:val="00983E02"/>
    <w:rsid w:val="00991094"/>
    <w:rsid w:val="009A19B7"/>
    <w:rsid w:val="009B3789"/>
    <w:rsid w:val="009D1C51"/>
    <w:rsid w:val="009D3FB9"/>
    <w:rsid w:val="009D5CA9"/>
    <w:rsid w:val="009F659C"/>
    <w:rsid w:val="00A24AF7"/>
    <w:rsid w:val="00A254B2"/>
    <w:rsid w:val="00A30AFB"/>
    <w:rsid w:val="00A361DB"/>
    <w:rsid w:val="00A364FF"/>
    <w:rsid w:val="00A379D7"/>
    <w:rsid w:val="00A37BF5"/>
    <w:rsid w:val="00A475F0"/>
    <w:rsid w:val="00A52A9B"/>
    <w:rsid w:val="00A54BD5"/>
    <w:rsid w:val="00A56743"/>
    <w:rsid w:val="00A61584"/>
    <w:rsid w:val="00A85596"/>
    <w:rsid w:val="00A92ECD"/>
    <w:rsid w:val="00A97B20"/>
    <w:rsid w:val="00AA08DE"/>
    <w:rsid w:val="00AA48D9"/>
    <w:rsid w:val="00AB056D"/>
    <w:rsid w:val="00AB3D8B"/>
    <w:rsid w:val="00AD1658"/>
    <w:rsid w:val="00AD629A"/>
    <w:rsid w:val="00AD7530"/>
    <w:rsid w:val="00AE3512"/>
    <w:rsid w:val="00AF447F"/>
    <w:rsid w:val="00B24012"/>
    <w:rsid w:val="00B35910"/>
    <w:rsid w:val="00B55648"/>
    <w:rsid w:val="00B71934"/>
    <w:rsid w:val="00B81875"/>
    <w:rsid w:val="00B95A1C"/>
    <w:rsid w:val="00BC1540"/>
    <w:rsid w:val="00BC1ED0"/>
    <w:rsid w:val="00BC4826"/>
    <w:rsid w:val="00C012DD"/>
    <w:rsid w:val="00C02B05"/>
    <w:rsid w:val="00C11034"/>
    <w:rsid w:val="00C17973"/>
    <w:rsid w:val="00C365FD"/>
    <w:rsid w:val="00C55766"/>
    <w:rsid w:val="00C629CA"/>
    <w:rsid w:val="00C679CF"/>
    <w:rsid w:val="00C7603B"/>
    <w:rsid w:val="00CB291F"/>
    <w:rsid w:val="00CC1A17"/>
    <w:rsid w:val="00CF28FC"/>
    <w:rsid w:val="00D0587F"/>
    <w:rsid w:val="00D116A8"/>
    <w:rsid w:val="00D170E5"/>
    <w:rsid w:val="00D27CFD"/>
    <w:rsid w:val="00D41313"/>
    <w:rsid w:val="00D515EA"/>
    <w:rsid w:val="00D651A8"/>
    <w:rsid w:val="00D724BC"/>
    <w:rsid w:val="00D8238D"/>
    <w:rsid w:val="00D82B32"/>
    <w:rsid w:val="00D909CC"/>
    <w:rsid w:val="00DA4934"/>
    <w:rsid w:val="00DB6FEB"/>
    <w:rsid w:val="00DC42E7"/>
    <w:rsid w:val="00DC6CAD"/>
    <w:rsid w:val="00DD5E1E"/>
    <w:rsid w:val="00E00F91"/>
    <w:rsid w:val="00E15BA4"/>
    <w:rsid w:val="00E22225"/>
    <w:rsid w:val="00E372FA"/>
    <w:rsid w:val="00E43879"/>
    <w:rsid w:val="00E50CE3"/>
    <w:rsid w:val="00E617C7"/>
    <w:rsid w:val="00E62E49"/>
    <w:rsid w:val="00E63E37"/>
    <w:rsid w:val="00E64E2A"/>
    <w:rsid w:val="00E812E0"/>
    <w:rsid w:val="00EA1D7C"/>
    <w:rsid w:val="00EC227D"/>
    <w:rsid w:val="00EC3ABC"/>
    <w:rsid w:val="00EE1185"/>
    <w:rsid w:val="00EE2EC3"/>
    <w:rsid w:val="00EE53CC"/>
    <w:rsid w:val="00F11D5E"/>
    <w:rsid w:val="00F1520A"/>
    <w:rsid w:val="00F30516"/>
    <w:rsid w:val="00F3431C"/>
    <w:rsid w:val="00F441BA"/>
    <w:rsid w:val="00F627E0"/>
    <w:rsid w:val="00F673AB"/>
    <w:rsid w:val="00FA52CB"/>
    <w:rsid w:val="00FB55E2"/>
    <w:rsid w:val="00FD00D1"/>
    <w:rsid w:val="00FD45D1"/>
    <w:rsid w:val="00FD75E7"/>
    <w:rsid w:val="00FE1BB3"/>
    <w:rsid w:val="00FE4293"/>
    <w:rsid w:val="00FF0F5A"/>
    <w:rsid w:val="00FF7263"/>
    <w:rsid w:val="01C74355"/>
    <w:rsid w:val="045D1931"/>
    <w:rsid w:val="05311908"/>
    <w:rsid w:val="06E520F4"/>
    <w:rsid w:val="072B07EF"/>
    <w:rsid w:val="08B822CA"/>
    <w:rsid w:val="08DE6D0E"/>
    <w:rsid w:val="08E07DAE"/>
    <w:rsid w:val="09CA0A04"/>
    <w:rsid w:val="0A717562"/>
    <w:rsid w:val="0ABA5EA1"/>
    <w:rsid w:val="0C5F2995"/>
    <w:rsid w:val="0CAF5FEF"/>
    <w:rsid w:val="0DAD52C5"/>
    <w:rsid w:val="0DDD3A40"/>
    <w:rsid w:val="0E9D6C3E"/>
    <w:rsid w:val="0EDC362F"/>
    <w:rsid w:val="10D455F8"/>
    <w:rsid w:val="117D06E9"/>
    <w:rsid w:val="11B97609"/>
    <w:rsid w:val="125005C8"/>
    <w:rsid w:val="13C51693"/>
    <w:rsid w:val="148661A5"/>
    <w:rsid w:val="14EB00CF"/>
    <w:rsid w:val="14ED489F"/>
    <w:rsid w:val="173D3514"/>
    <w:rsid w:val="176D2F9A"/>
    <w:rsid w:val="181518F2"/>
    <w:rsid w:val="182B76F5"/>
    <w:rsid w:val="18867185"/>
    <w:rsid w:val="191275A0"/>
    <w:rsid w:val="19BE4D51"/>
    <w:rsid w:val="1A4A3123"/>
    <w:rsid w:val="1BB763C8"/>
    <w:rsid w:val="1C5A25D7"/>
    <w:rsid w:val="1C724A32"/>
    <w:rsid w:val="1D3D3830"/>
    <w:rsid w:val="1E530286"/>
    <w:rsid w:val="1F647FD9"/>
    <w:rsid w:val="20961656"/>
    <w:rsid w:val="209D7127"/>
    <w:rsid w:val="20A4043D"/>
    <w:rsid w:val="21075521"/>
    <w:rsid w:val="21E0729C"/>
    <w:rsid w:val="239F1DE7"/>
    <w:rsid w:val="23BA6392"/>
    <w:rsid w:val="24461B1F"/>
    <w:rsid w:val="24965E29"/>
    <w:rsid w:val="24C053A1"/>
    <w:rsid w:val="258E28A4"/>
    <w:rsid w:val="259819C1"/>
    <w:rsid w:val="25BB3904"/>
    <w:rsid w:val="25DE19B7"/>
    <w:rsid w:val="26CC6518"/>
    <w:rsid w:val="29077FCE"/>
    <w:rsid w:val="29FA428B"/>
    <w:rsid w:val="2CC57DCA"/>
    <w:rsid w:val="2CFF2911"/>
    <w:rsid w:val="2D82642C"/>
    <w:rsid w:val="2E0A5F49"/>
    <w:rsid w:val="30A16401"/>
    <w:rsid w:val="31707A22"/>
    <w:rsid w:val="319E5231"/>
    <w:rsid w:val="31EE0F3D"/>
    <w:rsid w:val="32295A90"/>
    <w:rsid w:val="32401B61"/>
    <w:rsid w:val="3267400C"/>
    <w:rsid w:val="328C1951"/>
    <w:rsid w:val="33CF7E4B"/>
    <w:rsid w:val="33E75211"/>
    <w:rsid w:val="34A84B23"/>
    <w:rsid w:val="35521561"/>
    <w:rsid w:val="35774001"/>
    <w:rsid w:val="35A60508"/>
    <w:rsid w:val="36A35E5F"/>
    <w:rsid w:val="36C5744F"/>
    <w:rsid w:val="375F354C"/>
    <w:rsid w:val="378568C1"/>
    <w:rsid w:val="39E07CA6"/>
    <w:rsid w:val="3A51125F"/>
    <w:rsid w:val="3A6F5774"/>
    <w:rsid w:val="3A8C2FFF"/>
    <w:rsid w:val="3AEF469A"/>
    <w:rsid w:val="3B4E1AB7"/>
    <w:rsid w:val="3B911029"/>
    <w:rsid w:val="3C084000"/>
    <w:rsid w:val="3C131FCD"/>
    <w:rsid w:val="3C254856"/>
    <w:rsid w:val="3D5B0393"/>
    <w:rsid w:val="3DE95596"/>
    <w:rsid w:val="3E6C50D8"/>
    <w:rsid w:val="3EF80D60"/>
    <w:rsid w:val="3F8F360F"/>
    <w:rsid w:val="402D19C4"/>
    <w:rsid w:val="41635215"/>
    <w:rsid w:val="41FF4E9C"/>
    <w:rsid w:val="42253CE8"/>
    <w:rsid w:val="42D279D5"/>
    <w:rsid w:val="43E03B02"/>
    <w:rsid w:val="444C361A"/>
    <w:rsid w:val="44A51168"/>
    <w:rsid w:val="44FB5B53"/>
    <w:rsid w:val="45A755F8"/>
    <w:rsid w:val="45DD43F2"/>
    <w:rsid w:val="468B269B"/>
    <w:rsid w:val="475424A4"/>
    <w:rsid w:val="48582252"/>
    <w:rsid w:val="48686A79"/>
    <w:rsid w:val="490C5FBD"/>
    <w:rsid w:val="4A32299A"/>
    <w:rsid w:val="4C6B3B21"/>
    <w:rsid w:val="4D5B371F"/>
    <w:rsid w:val="4D6B4F60"/>
    <w:rsid w:val="4D852C5F"/>
    <w:rsid w:val="4EA05C5B"/>
    <w:rsid w:val="4F187423"/>
    <w:rsid w:val="4F365532"/>
    <w:rsid w:val="4FCC1DAC"/>
    <w:rsid w:val="51652AEA"/>
    <w:rsid w:val="51B46785"/>
    <w:rsid w:val="525A7155"/>
    <w:rsid w:val="52C00EF4"/>
    <w:rsid w:val="5353276D"/>
    <w:rsid w:val="53840F34"/>
    <w:rsid w:val="53D5425E"/>
    <w:rsid w:val="54257DE3"/>
    <w:rsid w:val="5498297C"/>
    <w:rsid w:val="55466588"/>
    <w:rsid w:val="557939A9"/>
    <w:rsid w:val="56793775"/>
    <w:rsid w:val="569C025C"/>
    <w:rsid w:val="570A6829"/>
    <w:rsid w:val="57A14A13"/>
    <w:rsid w:val="58325980"/>
    <w:rsid w:val="58DC271C"/>
    <w:rsid w:val="59B85E5B"/>
    <w:rsid w:val="5BEB0CA6"/>
    <w:rsid w:val="5CEE34CC"/>
    <w:rsid w:val="5D457319"/>
    <w:rsid w:val="5E1930B1"/>
    <w:rsid w:val="5E7C4F42"/>
    <w:rsid w:val="5E902291"/>
    <w:rsid w:val="5FF6114B"/>
    <w:rsid w:val="62941B24"/>
    <w:rsid w:val="63E42C62"/>
    <w:rsid w:val="64C44014"/>
    <w:rsid w:val="65904CE4"/>
    <w:rsid w:val="66E203FE"/>
    <w:rsid w:val="6821710D"/>
    <w:rsid w:val="683E21B2"/>
    <w:rsid w:val="684E4409"/>
    <w:rsid w:val="687D07DA"/>
    <w:rsid w:val="69976A08"/>
    <w:rsid w:val="6B04059F"/>
    <w:rsid w:val="6B734732"/>
    <w:rsid w:val="6C155E31"/>
    <w:rsid w:val="6CB0185B"/>
    <w:rsid w:val="6E4476B1"/>
    <w:rsid w:val="6E8E3BBC"/>
    <w:rsid w:val="6ED445AA"/>
    <w:rsid w:val="6F081BAF"/>
    <w:rsid w:val="6F17563E"/>
    <w:rsid w:val="6F5B0B3B"/>
    <w:rsid w:val="7036041C"/>
    <w:rsid w:val="7084409A"/>
    <w:rsid w:val="71203116"/>
    <w:rsid w:val="716A2545"/>
    <w:rsid w:val="71CE1C8A"/>
    <w:rsid w:val="71EC6A4F"/>
    <w:rsid w:val="722756E9"/>
    <w:rsid w:val="725A1750"/>
    <w:rsid w:val="727B68B1"/>
    <w:rsid w:val="729C519F"/>
    <w:rsid w:val="73D44508"/>
    <w:rsid w:val="74240A14"/>
    <w:rsid w:val="742B25FC"/>
    <w:rsid w:val="74687C26"/>
    <w:rsid w:val="748D7846"/>
    <w:rsid w:val="74AE27A1"/>
    <w:rsid w:val="74E725F0"/>
    <w:rsid w:val="75EC2B71"/>
    <w:rsid w:val="768212C0"/>
    <w:rsid w:val="76BA7523"/>
    <w:rsid w:val="76DE792F"/>
    <w:rsid w:val="77831B44"/>
    <w:rsid w:val="77E868C7"/>
    <w:rsid w:val="782A4E17"/>
    <w:rsid w:val="782D3E29"/>
    <w:rsid w:val="7AEA5A5C"/>
    <w:rsid w:val="7B8E1315"/>
    <w:rsid w:val="7BBB67DD"/>
    <w:rsid w:val="7C185F4E"/>
    <w:rsid w:val="7C2D6042"/>
    <w:rsid w:val="7C770BC7"/>
    <w:rsid w:val="7CE9661F"/>
    <w:rsid w:val="7DAF37EB"/>
    <w:rsid w:val="7DE30ED2"/>
    <w:rsid w:val="7E1A44A8"/>
    <w:rsid w:val="7E39250C"/>
    <w:rsid w:val="7E8B41CA"/>
    <w:rsid w:val="7E9D32FB"/>
    <w:rsid w:val="7F4D30FB"/>
    <w:rsid w:val="7FD75EAA"/>
    <w:rsid w:val="7FE94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jc w:val="both"/>
    </w:pPr>
    <w:rPr>
      <w:rFonts w:ascii="Times New Roman" w:hAnsi="Times New Roman" w:eastAsia="宋体" w:cs="Times New Roman"/>
      <w:sz w:val="21"/>
      <w:szCs w:val="24"/>
      <w:lang w:val="en-US" w:eastAsia="zh-CN" w:bidi="ar-SA"/>
    </w:rPr>
  </w:style>
  <w:style w:type="paragraph" w:styleId="2">
    <w:name w:val="heading 1"/>
    <w:basedOn w:val="1"/>
    <w:next w:val="1"/>
    <w:autoRedefine/>
    <w:qFormat/>
    <w:uiPriority w:val="0"/>
    <w:pPr>
      <w:keepNext/>
      <w:jc w:val="center"/>
      <w:outlineLvl w:val="0"/>
    </w:pPr>
    <w:rPr>
      <w:rFonts w:ascii="Arial" w:hAnsi="Arial" w:eastAsia="华文中宋"/>
      <w:b/>
      <w:color w:val="000000"/>
      <w:sz w:val="32"/>
    </w:rPr>
  </w:style>
  <w:style w:type="paragraph" w:styleId="3">
    <w:name w:val="heading 2"/>
    <w:basedOn w:val="1"/>
    <w:next w:val="1"/>
    <w:autoRedefine/>
    <w:qFormat/>
    <w:uiPriority w:val="1"/>
    <w:pPr>
      <w:ind w:left="898"/>
      <w:outlineLvl w:val="1"/>
    </w:pPr>
    <w:rPr>
      <w:rFonts w:ascii="宋体" w:hAnsi="宋体" w:cs="宋体"/>
      <w:sz w:val="28"/>
      <w:szCs w:val="28"/>
    </w:rPr>
  </w:style>
  <w:style w:type="paragraph" w:styleId="4">
    <w:name w:val="heading 3"/>
    <w:basedOn w:val="1"/>
    <w:next w:val="1"/>
    <w:autoRedefine/>
    <w:qFormat/>
    <w:uiPriority w:val="1"/>
    <w:pPr>
      <w:spacing w:before="34"/>
      <w:ind w:left="123"/>
      <w:outlineLvl w:val="2"/>
    </w:pPr>
    <w:rPr>
      <w:rFonts w:ascii="宋体" w:hAnsi="宋体" w:cs="宋体"/>
      <w:sz w:val="24"/>
    </w:rPr>
  </w:style>
  <w:style w:type="paragraph" w:styleId="5">
    <w:name w:val="heading 5"/>
    <w:basedOn w:val="1"/>
    <w:next w:val="1"/>
    <w:autoRedefine/>
    <w:qFormat/>
    <w:uiPriority w:val="1"/>
    <w:pPr>
      <w:spacing w:before="21"/>
      <w:ind w:left="910"/>
      <w:outlineLvl w:val="4"/>
    </w:pPr>
    <w:rPr>
      <w:rFonts w:ascii="宋体" w:hAnsi="宋体" w:cs="宋体"/>
      <w:b/>
      <w:bCs/>
      <w:szCs w:val="21"/>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6">
    <w:name w:val="Normal Indent"/>
    <w:basedOn w:val="1"/>
    <w:autoRedefine/>
    <w:qFormat/>
    <w:uiPriority w:val="0"/>
    <w:pPr>
      <w:spacing w:line="240" w:lineRule="auto"/>
    </w:pPr>
    <w:rPr>
      <w:kern w:val="2"/>
      <w:szCs w:val="20"/>
    </w:rPr>
  </w:style>
  <w:style w:type="paragraph" w:styleId="7">
    <w:name w:val="annotation text"/>
    <w:basedOn w:val="1"/>
    <w:autoRedefine/>
    <w:semiHidden/>
    <w:qFormat/>
    <w:uiPriority w:val="0"/>
    <w:pPr>
      <w:widowControl/>
      <w:jc w:val="left"/>
    </w:pPr>
    <w:rPr>
      <w:sz w:val="20"/>
      <w:szCs w:val="20"/>
      <w:lang w:eastAsia="en-US"/>
    </w:rPr>
  </w:style>
  <w:style w:type="paragraph" w:styleId="8">
    <w:name w:val="Body Text"/>
    <w:basedOn w:val="1"/>
    <w:autoRedefine/>
    <w:qFormat/>
    <w:uiPriority w:val="1"/>
    <w:pPr>
      <w:ind w:left="543"/>
    </w:pPr>
    <w:rPr>
      <w:rFonts w:ascii="宋体" w:hAnsi="宋体" w:cs="宋体"/>
      <w:szCs w:val="21"/>
    </w:rPr>
  </w:style>
  <w:style w:type="paragraph" w:styleId="9">
    <w:name w:val="Plain Text"/>
    <w:basedOn w:val="1"/>
    <w:autoRedefine/>
    <w:qFormat/>
    <w:uiPriority w:val="0"/>
    <w:pPr>
      <w:spacing w:beforeLines="50" w:afterLines="50" w:line="400" w:lineRule="exact"/>
    </w:pPr>
    <w:rPr>
      <w:rFonts w:ascii="宋体" w:hAnsi="Courier New"/>
      <w:sz w:val="24"/>
    </w:rPr>
  </w:style>
  <w:style w:type="paragraph" w:styleId="10">
    <w:name w:val="footer"/>
    <w:basedOn w:val="1"/>
    <w:link w:val="15"/>
    <w:autoRedefine/>
    <w:qFormat/>
    <w:uiPriority w:val="99"/>
    <w:pPr>
      <w:tabs>
        <w:tab w:val="center" w:pos="4153"/>
        <w:tab w:val="right" w:pos="8306"/>
      </w:tabs>
      <w:snapToGrid w:val="0"/>
      <w:spacing w:line="240" w:lineRule="auto"/>
      <w:jc w:val="left"/>
    </w:pPr>
    <w:rPr>
      <w:sz w:val="18"/>
      <w:szCs w:val="18"/>
    </w:rPr>
  </w:style>
  <w:style w:type="paragraph" w:styleId="11">
    <w:name w:val="header"/>
    <w:basedOn w:val="1"/>
    <w:link w:val="16"/>
    <w:autoRedefine/>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13">
    <w:name w:val="Table Grid"/>
    <w:basedOn w:val="12"/>
    <w:autoRedefine/>
    <w:qFormat/>
    <w:uiPriority w:val="0"/>
    <w:pPr>
      <w:widowControl w:val="0"/>
      <w:spacing w:line="360" w:lineRule="auto"/>
      <w:ind w:firstLine="4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字符"/>
    <w:basedOn w:val="14"/>
    <w:link w:val="10"/>
    <w:autoRedefine/>
    <w:qFormat/>
    <w:uiPriority w:val="99"/>
    <w:rPr>
      <w:sz w:val="18"/>
      <w:szCs w:val="18"/>
    </w:rPr>
  </w:style>
  <w:style w:type="character" w:customStyle="1" w:styleId="16">
    <w:name w:val="页眉 字符"/>
    <w:basedOn w:val="14"/>
    <w:link w:val="11"/>
    <w:autoRedefine/>
    <w:qFormat/>
    <w:uiPriority w:val="99"/>
    <w:rPr>
      <w:sz w:val="18"/>
      <w:szCs w:val="18"/>
    </w:rPr>
  </w:style>
  <w:style w:type="paragraph" w:customStyle="1" w:styleId="17">
    <w:name w:val="BodyText1I2"/>
    <w:basedOn w:val="18"/>
    <w:autoRedefine/>
    <w:qFormat/>
    <w:uiPriority w:val="0"/>
    <w:pPr>
      <w:ind w:firstLine="200" w:firstLineChars="200"/>
    </w:pPr>
  </w:style>
  <w:style w:type="paragraph" w:customStyle="1" w:styleId="18">
    <w:name w:val="BodyTextIndent"/>
    <w:basedOn w:val="1"/>
    <w:autoRedefine/>
    <w:qFormat/>
    <w:uiPriority w:val="0"/>
    <w:pPr>
      <w:spacing w:after="120" w:line="240" w:lineRule="auto"/>
      <w:ind w:left="420" w:leftChars="200"/>
      <w:textAlignment w:val="baseline"/>
    </w:pPr>
    <w:rPr>
      <w:color w:val="000000"/>
      <w:kern w:val="2"/>
    </w:rPr>
  </w:style>
  <w:style w:type="character" w:customStyle="1" w:styleId="19">
    <w:name w:val="font11"/>
    <w:basedOn w:val="14"/>
    <w:autoRedefine/>
    <w:qFormat/>
    <w:uiPriority w:val="0"/>
    <w:rPr>
      <w:rFonts w:hint="eastAsia" w:ascii="宋体" w:hAnsi="宋体" w:eastAsia="宋体" w:cs="宋体"/>
      <w:color w:val="000000"/>
      <w:sz w:val="24"/>
      <w:szCs w:val="24"/>
      <w:u w:val="none"/>
    </w:rPr>
  </w:style>
  <w:style w:type="character" w:customStyle="1" w:styleId="20">
    <w:name w:val="font01"/>
    <w:basedOn w:val="14"/>
    <w:autoRedefine/>
    <w:qFormat/>
    <w:uiPriority w:val="0"/>
    <w:rPr>
      <w:rFonts w:hint="eastAsia" w:ascii="宋体" w:hAnsi="宋体" w:eastAsia="宋体" w:cs="宋体"/>
      <w:b/>
      <w:color w:val="000000"/>
      <w:sz w:val="24"/>
      <w:szCs w:val="24"/>
      <w:u w:val="none"/>
    </w:rPr>
  </w:style>
  <w:style w:type="character" w:customStyle="1" w:styleId="21">
    <w:name w:val="gray s"/>
    <w:basedOn w:val="14"/>
    <w:autoRedefine/>
    <w:qFormat/>
    <w:uiPriority w:val="0"/>
  </w:style>
  <w:style w:type="character" w:customStyle="1" w:styleId="22">
    <w:name w:val="Heading #1|1_"/>
    <w:basedOn w:val="14"/>
    <w:link w:val="23"/>
    <w:autoRedefine/>
    <w:qFormat/>
    <w:uiPriority w:val="0"/>
    <w:rPr>
      <w:rFonts w:ascii="宋体" w:hAnsi="宋体" w:eastAsia="宋体" w:cs="宋体"/>
      <w:sz w:val="38"/>
      <w:szCs w:val="38"/>
      <w:lang w:val="zh-TW" w:eastAsia="zh-TW" w:bidi="zh-TW"/>
    </w:rPr>
  </w:style>
  <w:style w:type="paragraph" w:customStyle="1" w:styleId="23">
    <w:name w:val="Heading #1|1"/>
    <w:basedOn w:val="1"/>
    <w:link w:val="22"/>
    <w:autoRedefine/>
    <w:qFormat/>
    <w:uiPriority w:val="0"/>
    <w:pPr>
      <w:spacing w:after="500" w:line="240" w:lineRule="auto"/>
      <w:ind w:firstLine="0"/>
      <w:jc w:val="center"/>
      <w:outlineLvl w:val="0"/>
    </w:pPr>
    <w:rPr>
      <w:rFonts w:ascii="宋体" w:hAnsi="宋体" w:cs="宋体"/>
      <w:sz w:val="38"/>
      <w:szCs w:val="38"/>
      <w:lang w:val="zh-TW" w:eastAsia="zh-TW" w:bidi="zh-TW"/>
    </w:rPr>
  </w:style>
  <w:style w:type="character" w:customStyle="1" w:styleId="24">
    <w:name w:val="Header or footer|2_"/>
    <w:basedOn w:val="14"/>
    <w:link w:val="25"/>
    <w:autoRedefine/>
    <w:qFormat/>
    <w:uiPriority w:val="0"/>
    <w:rPr>
      <w:lang w:val="zh-TW" w:eastAsia="zh-TW" w:bidi="zh-TW"/>
    </w:rPr>
  </w:style>
  <w:style w:type="paragraph" w:customStyle="1" w:styleId="25">
    <w:name w:val="Header or footer|2"/>
    <w:basedOn w:val="1"/>
    <w:link w:val="24"/>
    <w:autoRedefine/>
    <w:qFormat/>
    <w:uiPriority w:val="0"/>
    <w:pPr>
      <w:spacing w:line="240" w:lineRule="auto"/>
      <w:ind w:firstLine="0"/>
      <w:jc w:val="left"/>
    </w:pPr>
    <w:rPr>
      <w:sz w:val="20"/>
      <w:szCs w:val="20"/>
      <w:lang w:val="zh-TW" w:eastAsia="zh-TW" w:bidi="zh-TW"/>
    </w:rPr>
  </w:style>
  <w:style w:type="character" w:customStyle="1" w:styleId="26">
    <w:name w:val="Body text|2_"/>
    <w:basedOn w:val="14"/>
    <w:link w:val="27"/>
    <w:autoRedefine/>
    <w:qFormat/>
    <w:uiPriority w:val="0"/>
    <w:rPr>
      <w:b/>
      <w:bCs/>
      <w:color w:val="0000E7"/>
      <w:sz w:val="18"/>
      <w:szCs w:val="18"/>
      <w:lang w:val="zh-TW" w:eastAsia="zh-TW" w:bidi="zh-TW"/>
    </w:rPr>
  </w:style>
  <w:style w:type="paragraph" w:customStyle="1" w:styleId="27">
    <w:name w:val="Body text|2"/>
    <w:basedOn w:val="1"/>
    <w:link w:val="26"/>
    <w:autoRedefine/>
    <w:qFormat/>
    <w:uiPriority w:val="0"/>
    <w:pPr>
      <w:spacing w:after="140" w:line="240" w:lineRule="auto"/>
      <w:ind w:firstLine="0"/>
      <w:jc w:val="right"/>
    </w:pPr>
    <w:rPr>
      <w:b/>
      <w:bCs/>
      <w:color w:val="0000E7"/>
      <w:sz w:val="18"/>
      <w:szCs w:val="18"/>
      <w:lang w:val="zh-TW" w:eastAsia="zh-TW" w:bidi="zh-TW"/>
    </w:rPr>
  </w:style>
  <w:style w:type="character" w:customStyle="1" w:styleId="28">
    <w:name w:val="Body text|1_"/>
    <w:basedOn w:val="14"/>
    <w:link w:val="29"/>
    <w:autoRedefine/>
    <w:qFormat/>
    <w:uiPriority w:val="0"/>
    <w:rPr>
      <w:rFonts w:ascii="宋体" w:hAnsi="宋体" w:eastAsia="宋体" w:cs="宋体"/>
      <w:sz w:val="16"/>
      <w:szCs w:val="16"/>
      <w:lang w:val="zh-TW" w:eastAsia="zh-TW" w:bidi="zh-TW"/>
    </w:rPr>
  </w:style>
  <w:style w:type="paragraph" w:customStyle="1" w:styleId="29">
    <w:name w:val="Body text|1"/>
    <w:basedOn w:val="1"/>
    <w:link w:val="28"/>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0">
    <w:name w:val="Table caption|1_"/>
    <w:basedOn w:val="14"/>
    <w:link w:val="31"/>
    <w:autoRedefine/>
    <w:qFormat/>
    <w:uiPriority w:val="0"/>
    <w:rPr>
      <w:rFonts w:ascii="宋体" w:hAnsi="宋体" w:eastAsia="宋体" w:cs="宋体"/>
      <w:sz w:val="16"/>
      <w:szCs w:val="16"/>
      <w:lang w:val="zh-TW" w:eastAsia="zh-TW" w:bidi="zh-TW"/>
    </w:rPr>
  </w:style>
  <w:style w:type="paragraph" w:customStyle="1" w:styleId="31">
    <w:name w:val="Table caption|1"/>
    <w:basedOn w:val="1"/>
    <w:link w:val="30"/>
    <w:autoRedefine/>
    <w:qFormat/>
    <w:uiPriority w:val="0"/>
    <w:pPr>
      <w:spacing w:line="240" w:lineRule="auto"/>
      <w:ind w:firstLine="0"/>
      <w:jc w:val="right"/>
    </w:pPr>
    <w:rPr>
      <w:rFonts w:ascii="宋体" w:hAnsi="宋体" w:cs="宋体"/>
      <w:sz w:val="16"/>
      <w:szCs w:val="16"/>
      <w:lang w:val="zh-TW" w:eastAsia="zh-TW" w:bidi="zh-TW"/>
    </w:rPr>
  </w:style>
  <w:style w:type="character" w:customStyle="1" w:styleId="32">
    <w:name w:val="Other|1_"/>
    <w:basedOn w:val="14"/>
    <w:link w:val="33"/>
    <w:autoRedefine/>
    <w:qFormat/>
    <w:uiPriority w:val="0"/>
    <w:rPr>
      <w:rFonts w:ascii="宋体" w:hAnsi="宋体" w:eastAsia="宋体" w:cs="宋体"/>
      <w:sz w:val="16"/>
      <w:szCs w:val="16"/>
      <w:lang w:val="zh-TW" w:eastAsia="zh-TW" w:bidi="zh-TW"/>
    </w:rPr>
  </w:style>
  <w:style w:type="paragraph" w:customStyle="1" w:styleId="33">
    <w:name w:val="Other|1"/>
    <w:basedOn w:val="1"/>
    <w:link w:val="32"/>
    <w:autoRedefine/>
    <w:qFormat/>
    <w:uiPriority w:val="0"/>
    <w:pPr>
      <w:spacing w:line="307" w:lineRule="auto"/>
      <w:ind w:firstLine="240"/>
      <w:jc w:val="left"/>
    </w:pPr>
    <w:rPr>
      <w:rFonts w:ascii="宋体" w:hAnsi="宋体" w:cs="宋体"/>
      <w:sz w:val="16"/>
      <w:szCs w:val="16"/>
      <w:lang w:val="zh-TW" w:eastAsia="zh-TW" w:bidi="zh-TW"/>
    </w:rPr>
  </w:style>
  <w:style w:type="character" w:customStyle="1" w:styleId="34">
    <w:name w:val="Body text|4_"/>
    <w:basedOn w:val="14"/>
    <w:link w:val="35"/>
    <w:autoRedefine/>
    <w:qFormat/>
    <w:uiPriority w:val="0"/>
    <w:rPr>
      <w:rFonts w:ascii="宋体" w:hAnsi="宋体" w:eastAsia="宋体" w:cs="宋体"/>
      <w:color w:val="4068DD"/>
      <w:sz w:val="18"/>
      <w:szCs w:val="18"/>
      <w:lang w:val="zh-TW" w:eastAsia="zh-TW" w:bidi="zh-TW"/>
    </w:rPr>
  </w:style>
  <w:style w:type="paragraph" w:customStyle="1" w:styleId="35">
    <w:name w:val="Body text|4"/>
    <w:basedOn w:val="1"/>
    <w:link w:val="34"/>
    <w:autoRedefine/>
    <w:qFormat/>
    <w:uiPriority w:val="0"/>
    <w:pPr>
      <w:spacing w:after="40" w:line="245" w:lineRule="exact"/>
      <w:ind w:firstLine="240"/>
      <w:jc w:val="left"/>
    </w:pPr>
    <w:rPr>
      <w:rFonts w:ascii="宋体" w:hAnsi="宋体" w:cs="宋体"/>
      <w:color w:val="4068DD"/>
      <w:sz w:val="18"/>
      <w:szCs w:val="18"/>
      <w:lang w:val="zh-TW" w:eastAsia="zh-TW" w:bidi="zh-TW"/>
    </w:rPr>
  </w:style>
  <w:style w:type="character" w:customStyle="1" w:styleId="36">
    <w:name w:val="Body text|3_"/>
    <w:basedOn w:val="14"/>
    <w:link w:val="37"/>
    <w:autoRedefine/>
    <w:qFormat/>
    <w:uiPriority w:val="0"/>
    <w:rPr>
      <w:i/>
      <w:iCs/>
      <w:color w:val="4068DD"/>
      <w:sz w:val="22"/>
      <w:szCs w:val="22"/>
      <w:lang w:val="zh-TW" w:eastAsia="zh-TW" w:bidi="zh-TW"/>
    </w:rPr>
  </w:style>
  <w:style w:type="paragraph" w:customStyle="1" w:styleId="37">
    <w:name w:val="Body text|3"/>
    <w:basedOn w:val="1"/>
    <w:link w:val="36"/>
    <w:autoRedefine/>
    <w:qFormat/>
    <w:uiPriority w:val="0"/>
    <w:pPr>
      <w:spacing w:after="40" w:line="240" w:lineRule="auto"/>
      <w:ind w:firstLine="240"/>
      <w:jc w:val="left"/>
    </w:pPr>
    <w:rPr>
      <w:i/>
      <w:iCs/>
      <w:color w:val="4068DD"/>
      <w:sz w:val="22"/>
      <w:szCs w:val="22"/>
      <w:lang w:val="zh-TW" w:eastAsia="zh-TW" w:bidi="zh-TW"/>
    </w:rPr>
  </w:style>
  <w:style w:type="paragraph" w:customStyle="1" w:styleId="38">
    <w:name w:val="Table Paragraph"/>
    <w:basedOn w:val="1"/>
    <w:autoRedefine/>
    <w:qFormat/>
    <w:uiPriority w:val="1"/>
    <w:rPr>
      <w:rFonts w:ascii="宋体" w:hAnsi="宋体" w:cs="宋体"/>
    </w:rPr>
  </w:style>
  <w:style w:type="paragraph" w:styleId="39">
    <w:name w:val="List Paragraph"/>
    <w:basedOn w:val="1"/>
    <w:autoRedefine/>
    <w:qFormat/>
    <w:uiPriority w:val="99"/>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1160</Words>
  <Characters>1282</Characters>
  <Lines>12</Lines>
  <Paragraphs>3</Paragraphs>
  <TotalTime>3</TotalTime>
  <ScaleCrop>false</ScaleCrop>
  <LinksUpToDate>false</LinksUpToDate>
  <CharactersWithSpaces>1296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2024-01-03T02:19:00Z</dcterms:created>
  <dc:creator>张才</dc:creator>
  <cp:lastModifiedBy>余佳晨</cp:lastModifiedBy>
  <dcterms:modified xsi:type="dcterms:W3CDTF">2026-09-10T08:23:33Z</dcterms:modified>
  <dc:title>60L型开水器主要参数</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6B777EBC00A84E6B9681E582B699CD93_13</vt:lpwstr>
  </property>
  <property fmtid="{D5CDD505-2E9C-101B-9397-08002B2CF9AE}" pid="4" name="KSOTemplateDocerSaveRecord">
    <vt:lpwstr>eyJoZGlkIjoiNWNjYTRlY2YxM2Q4Yzc0Njc5ODY4NzZlZjBhYmQzOTgiLCJ1c2VySWQiOiIyNTUxODAzNDkifQ==</vt:lpwstr>
  </property>
  <property fmtid="{D5CDD505-2E9C-101B-9397-08002B2CF9AE}" pid="5" name="GrammarlyDocumentId">
    <vt:lpwstr>284647fe-bae7-47a0-9c44-8c7b877c0858</vt:lpwstr>
  </property>
</Properties>
</file>