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7BBCF">
      <w:pPr>
        <w:jc w:val="center"/>
        <w:rPr>
          <w:rFonts w:hint="eastAsia"/>
          <w:b/>
          <w:sz w:val="68"/>
          <w:szCs w:val="68"/>
        </w:rPr>
      </w:pPr>
    </w:p>
    <w:p w14:paraId="084E89C8">
      <w:pPr>
        <w:jc w:val="center"/>
        <w:rPr>
          <w:rFonts w:hint="eastAsia" w:ascii="黑体" w:hAnsi="黑体" w:eastAsia="黑体"/>
          <w:b/>
          <w:sz w:val="64"/>
          <w:szCs w:val="64"/>
          <w:lang w:val="en-US" w:eastAsia="zh-CN"/>
        </w:rPr>
      </w:pPr>
      <w:r>
        <w:rPr>
          <w:rFonts w:hint="eastAsia" w:ascii="黑体" w:hAnsi="黑体" w:eastAsia="黑体"/>
          <w:b/>
          <w:sz w:val="64"/>
          <w:szCs w:val="64"/>
          <w:lang w:val="en-US" w:eastAsia="zh-CN"/>
        </w:rPr>
        <w:t>浙江大学温州研究院</w:t>
      </w:r>
    </w:p>
    <w:p w14:paraId="06C845C7">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1507A36B">
      <w:pPr>
        <w:jc w:val="center"/>
        <w:rPr>
          <w:rFonts w:hint="eastAsia"/>
          <w:b/>
          <w:sz w:val="72"/>
          <w:szCs w:val="72"/>
        </w:rPr>
      </w:pPr>
    </w:p>
    <w:p w14:paraId="0C03EB8E">
      <w:pPr>
        <w:jc w:val="center"/>
        <w:rPr>
          <w:rFonts w:hint="eastAsia"/>
          <w:b/>
          <w:sz w:val="72"/>
          <w:szCs w:val="72"/>
        </w:rPr>
      </w:pPr>
    </w:p>
    <w:p w14:paraId="7FC8BAE2">
      <w:pPr>
        <w:jc w:val="center"/>
        <w:rPr>
          <w:rFonts w:hint="eastAsia"/>
          <w:b/>
          <w:sz w:val="72"/>
          <w:szCs w:val="72"/>
        </w:rPr>
      </w:pPr>
    </w:p>
    <w:p w14:paraId="4821D147">
      <w:pPr>
        <w:snapToGrid w:val="0"/>
        <w:rPr>
          <w:b/>
          <w:sz w:val="28"/>
          <w:szCs w:val="28"/>
        </w:rPr>
      </w:pPr>
    </w:p>
    <w:p w14:paraId="77D61BF4">
      <w:pPr>
        <w:pStyle w:val="9"/>
        <w:snapToGrid w:val="0"/>
        <w:spacing w:before="156" w:after="156" w:line="360" w:lineRule="auto"/>
        <w:ind w:firstLine="0"/>
        <w:jc w:val="center"/>
        <w:rPr>
          <w:rFonts w:hint="default" w:ascii="Times New Roman" w:hAnsi="Times New Roman"/>
          <w:b/>
          <w:sz w:val="32"/>
          <w:szCs w:val="32"/>
          <w:highlight w:val="yellow"/>
          <w:lang w:val="en-US" w:eastAsia="zh-CN"/>
        </w:rPr>
      </w:pPr>
      <w:r>
        <w:rPr>
          <w:rFonts w:ascii="Times New Roman" w:hAnsi="Times New Roman"/>
          <w:b/>
          <w:sz w:val="32"/>
          <w:szCs w:val="32"/>
        </w:rPr>
        <w:t>项目名称：</w:t>
      </w:r>
      <w:r>
        <w:rPr>
          <w:rFonts w:hint="eastAsia" w:ascii="Times New Roman" w:hAnsi="Times New Roman"/>
          <w:b/>
          <w:sz w:val="32"/>
          <w:szCs w:val="32"/>
        </w:rPr>
        <w:t>产生单色X射线的光管及曲面弯晶晶体的整体封装分光系统</w:t>
      </w:r>
    </w:p>
    <w:p w14:paraId="56EC84C6">
      <w:pPr>
        <w:pStyle w:val="9"/>
        <w:snapToGrid w:val="0"/>
        <w:spacing w:before="156" w:after="156" w:line="360" w:lineRule="auto"/>
        <w:ind w:firstLine="0"/>
        <w:jc w:val="center"/>
        <w:rPr>
          <w:rFonts w:hint="default" w:ascii="Times New Roman" w:hAnsi="Times New Roman"/>
          <w:b/>
          <w:sz w:val="32"/>
          <w:szCs w:val="32"/>
          <w:highlight w:val="yellow"/>
          <w:lang w:val="en-US" w:eastAsia="zh-CN"/>
        </w:rPr>
      </w:pPr>
      <w:r>
        <w:rPr>
          <w:rFonts w:hint="eastAsia" w:ascii="Times New Roman" w:hAnsi="Times New Roman"/>
          <w:b/>
          <w:sz w:val="32"/>
          <w:szCs w:val="32"/>
          <w:highlight w:val="none"/>
          <w:lang w:val="en-US" w:eastAsia="zh-CN"/>
        </w:rPr>
        <w:t>项目编号：</w:t>
      </w:r>
      <w:r>
        <w:rPr>
          <w:rFonts w:hint="eastAsia" w:ascii="Times New Roman" w:hAnsi="Times New Roman"/>
          <w:b/>
          <w:sz w:val="32"/>
          <w:szCs w:val="32"/>
          <w:highlight w:val="yellow"/>
          <w:lang w:val="en-US" w:eastAsia="zh-CN"/>
        </w:rPr>
        <w:t>ZDWYY-XJ-2026009</w:t>
      </w:r>
    </w:p>
    <w:p w14:paraId="74D79C7E">
      <w:pPr>
        <w:pStyle w:val="9"/>
        <w:snapToGrid w:val="0"/>
        <w:spacing w:before="156" w:after="156" w:line="360" w:lineRule="auto"/>
        <w:ind w:firstLine="841" w:firstLineChars="294"/>
        <w:rPr>
          <w:rFonts w:ascii="Times New Roman" w:hAnsi="Times New Roman"/>
          <w:b/>
          <w:bCs/>
          <w:w w:val="95"/>
          <w:sz w:val="30"/>
          <w:szCs w:val="30"/>
        </w:rPr>
      </w:pPr>
    </w:p>
    <w:p w14:paraId="01D1BF8F">
      <w:pPr>
        <w:pStyle w:val="9"/>
        <w:snapToGrid w:val="0"/>
        <w:spacing w:before="156" w:after="156" w:line="360" w:lineRule="auto"/>
        <w:ind w:firstLine="841" w:firstLineChars="294"/>
        <w:rPr>
          <w:rFonts w:ascii="Times New Roman" w:hAnsi="Times New Roman"/>
          <w:b/>
          <w:bCs/>
          <w:w w:val="95"/>
          <w:sz w:val="30"/>
          <w:szCs w:val="30"/>
        </w:rPr>
      </w:pPr>
    </w:p>
    <w:p w14:paraId="09DA07E1">
      <w:pPr>
        <w:pStyle w:val="9"/>
        <w:snapToGrid w:val="0"/>
        <w:spacing w:before="156" w:after="156" w:line="360" w:lineRule="auto"/>
        <w:ind w:firstLine="841" w:firstLineChars="294"/>
        <w:rPr>
          <w:rFonts w:ascii="Times New Roman" w:hAnsi="Times New Roman"/>
          <w:b/>
          <w:bCs/>
          <w:w w:val="95"/>
          <w:sz w:val="30"/>
          <w:szCs w:val="30"/>
        </w:rPr>
      </w:pPr>
    </w:p>
    <w:p w14:paraId="2F4F4B3C">
      <w:pPr>
        <w:pStyle w:val="9"/>
        <w:snapToGrid w:val="0"/>
        <w:spacing w:before="156" w:after="156" w:line="360" w:lineRule="auto"/>
        <w:ind w:left="0" w:leftChars="0" w:firstLine="0" w:firstLineChars="0"/>
        <w:rPr>
          <w:rFonts w:ascii="Times New Roman" w:hAnsi="Times New Roman"/>
          <w:b/>
          <w:bCs/>
          <w:w w:val="95"/>
          <w:sz w:val="30"/>
          <w:szCs w:val="30"/>
        </w:rPr>
      </w:pPr>
    </w:p>
    <w:p w14:paraId="2DF56C04">
      <w:pPr>
        <w:pStyle w:val="9"/>
        <w:snapToGrid w:val="0"/>
        <w:spacing w:before="156" w:after="156" w:line="360" w:lineRule="auto"/>
        <w:ind w:firstLine="841" w:firstLineChars="294"/>
        <w:rPr>
          <w:rFonts w:ascii="Times New Roman" w:hAnsi="Times New Roman"/>
          <w:b/>
          <w:bCs/>
          <w:w w:val="95"/>
          <w:sz w:val="30"/>
          <w:szCs w:val="30"/>
        </w:rPr>
      </w:pPr>
    </w:p>
    <w:p w14:paraId="1AAC7498">
      <w:pPr>
        <w:pStyle w:val="9"/>
        <w:snapToGrid w:val="0"/>
        <w:spacing w:before="156" w:after="156" w:line="360" w:lineRule="auto"/>
        <w:ind w:firstLine="841" w:firstLineChars="294"/>
        <w:rPr>
          <w:rFonts w:ascii="Times New Roman" w:hAnsi="Times New Roman"/>
          <w:b/>
          <w:bCs/>
          <w:w w:val="95"/>
          <w:sz w:val="30"/>
          <w:szCs w:val="30"/>
        </w:rPr>
      </w:pPr>
    </w:p>
    <w:p w14:paraId="34091714">
      <w:pPr>
        <w:widowControl/>
        <w:autoSpaceDE w:val="0"/>
        <w:autoSpaceDN w:val="0"/>
        <w:spacing w:line="240" w:lineRule="auto"/>
        <w:jc w:val="center"/>
        <w:textAlignment w:val="bottom"/>
        <w:rPr>
          <w:rFonts w:hint="default" w:eastAsia="宋体"/>
          <w:b/>
          <w:bCs/>
          <w:w w:val="95"/>
          <w:sz w:val="32"/>
          <w:szCs w:val="32"/>
          <w:lang w:val="en-US" w:eastAsia="zh-CN"/>
        </w:rPr>
      </w:pPr>
      <w:r>
        <w:rPr>
          <w:rFonts w:hint="eastAsia"/>
          <w:b/>
          <w:bCs/>
          <w:w w:val="95"/>
          <w:sz w:val="32"/>
          <w:szCs w:val="32"/>
          <w:lang w:val="en-US" w:eastAsia="zh-CN"/>
        </w:rPr>
        <w:t>浙江大学温州研究院</w:t>
      </w:r>
    </w:p>
    <w:p w14:paraId="7F9B8BD3">
      <w:pPr>
        <w:spacing w:line="440" w:lineRule="exact"/>
        <w:ind w:firstLine="0"/>
        <w:jc w:val="center"/>
        <w:rPr>
          <w:rFonts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highlight w:val="yellow"/>
        </w:rPr>
        <w:t>202</w:t>
      </w:r>
      <w:r>
        <w:rPr>
          <w:rFonts w:hint="eastAsia"/>
          <w:b/>
          <w:bCs/>
          <w:w w:val="95"/>
          <w:sz w:val="32"/>
          <w:szCs w:val="32"/>
          <w:highlight w:val="yellow"/>
          <w:lang w:val="en-US" w:eastAsia="zh-CN"/>
        </w:rPr>
        <w:t>6</w:t>
      </w:r>
      <w:r>
        <w:rPr>
          <w:rFonts w:hint="eastAsia"/>
          <w:b/>
          <w:bCs/>
          <w:w w:val="95"/>
          <w:sz w:val="32"/>
          <w:szCs w:val="32"/>
          <w:highlight w:val="yellow"/>
        </w:rPr>
        <w:t>年</w:t>
      </w:r>
      <w:r>
        <w:rPr>
          <w:rFonts w:hint="eastAsia"/>
          <w:b/>
          <w:bCs/>
          <w:w w:val="95"/>
          <w:sz w:val="32"/>
          <w:szCs w:val="32"/>
          <w:highlight w:val="yellow"/>
          <w:lang w:val="en-US" w:eastAsia="zh-CN"/>
        </w:rPr>
        <w:t>2</w:t>
      </w:r>
      <w:bookmarkStart w:id="3" w:name="_GoBack"/>
      <w:bookmarkEnd w:id="3"/>
      <w:r>
        <w:rPr>
          <w:rFonts w:hint="eastAsia"/>
          <w:b/>
          <w:bCs/>
          <w:w w:val="95"/>
          <w:sz w:val="32"/>
          <w:szCs w:val="32"/>
          <w:highlight w:val="yellow"/>
        </w:rPr>
        <w:t>月</w:t>
      </w:r>
    </w:p>
    <w:p w14:paraId="666E2DB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70A5BB42">
      <w:pPr>
        <w:numPr>
          <w:ilvl w:val="0"/>
          <w:numId w:val="1"/>
        </w:numPr>
        <w:ind w:firstLine="0"/>
        <w:rPr>
          <w:rFonts w:hint="eastAsia"/>
          <w:b/>
          <w:bCs/>
          <w:szCs w:val="21"/>
        </w:rPr>
      </w:pPr>
      <w:r>
        <w:rPr>
          <w:rFonts w:hint="eastAsia"/>
          <w:b/>
          <w:bCs/>
          <w:szCs w:val="21"/>
        </w:rPr>
        <w:t>采购物资：</w:t>
      </w:r>
      <w:r>
        <w:rPr>
          <w:rFonts w:hint="eastAsia"/>
          <w:b/>
          <w:bCs/>
          <w:szCs w:val="21"/>
          <w:highlight w:val="yellow"/>
          <w:lang w:val="en-US" w:eastAsia="zh-CN"/>
        </w:rPr>
        <w:t>一种产生单色X射线的光管及曲面弯晶晶体的整体封装的分光系统</w:t>
      </w:r>
      <w:r>
        <w:rPr>
          <w:rFonts w:hint="eastAsia"/>
          <w:b/>
          <w:bCs/>
          <w:szCs w:val="21"/>
        </w:rPr>
        <w:t>；采购数量：</w:t>
      </w:r>
      <w:r>
        <w:rPr>
          <w:rFonts w:hint="eastAsia"/>
          <w:b/>
          <w:bCs/>
          <w:szCs w:val="21"/>
          <w:highlight w:val="yellow"/>
        </w:rPr>
        <w:t>1批</w:t>
      </w:r>
      <w:r>
        <w:rPr>
          <w:rFonts w:hint="eastAsia"/>
          <w:b/>
          <w:bCs/>
          <w:szCs w:val="21"/>
        </w:rPr>
        <w:t>；总预算：</w:t>
      </w:r>
      <w:r>
        <w:rPr>
          <w:rFonts w:hint="eastAsia"/>
          <w:b/>
          <w:bCs/>
          <w:szCs w:val="21"/>
          <w:highlight w:val="yellow"/>
          <w:lang w:val="en-US" w:eastAsia="zh-CN"/>
        </w:rPr>
        <w:t>262000</w:t>
      </w:r>
      <w:r>
        <w:rPr>
          <w:rFonts w:hint="eastAsia"/>
          <w:b/>
          <w:bCs/>
          <w:szCs w:val="21"/>
          <w:highlight w:val="yellow"/>
        </w:rPr>
        <w:t>元</w:t>
      </w:r>
      <w:r>
        <w:rPr>
          <w:rFonts w:hint="eastAsia"/>
          <w:b/>
          <w:bCs/>
          <w:szCs w:val="21"/>
        </w:rPr>
        <w:t>。</w:t>
      </w:r>
    </w:p>
    <w:p w14:paraId="51F4D873">
      <w:pPr>
        <w:numPr>
          <w:ilvl w:val="0"/>
          <w:numId w:val="1"/>
        </w:numPr>
        <w:ind w:firstLine="0"/>
        <w:rPr>
          <w:rFonts w:hint="eastAsia"/>
          <w:b/>
          <w:bCs/>
          <w:szCs w:val="21"/>
        </w:rPr>
      </w:pPr>
      <w:r>
        <w:rPr>
          <w:rFonts w:hint="eastAsia"/>
          <w:b/>
          <w:bCs/>
          <w:szCs w:val="21"/>
        </w:rPr>
        <w:t>规格参数（对规格参数有任何疑问，请</w:t>
      </w:r>
      <w:r>
        <w:rPr>
          <w:rFonts w:hint="eastAsia"/>
          <w:b/>
          <w:bCs/>
          <w:szCs w:val="21"/>
          <w:highlight w:val="none"/>
        </w:rPr>
        <w:t>联系</w:t>
      </w:r>
      <w:r>
        <w:rPr>
          <w:rFonts w:hint="eastAsia"/>
          <w:b/>
          <w:bCs/>
          <w:szCs w:val="21"/>
          <w:highlight w:val="yellow"/>
          <w:lang w:val="en-US" w:eastAsia="zh-CN"/>
        </w:rPr>
        <w:t>项目组老师范鸿博，联系方式18684251888</w:t>
      </w:r>
      <w:r>
        <w:rPr>
          <w:rFonts w:hint="eastAsia"/>
          <w:b/>
          <w:bCs/>
          <w:szCs w:val="21"/>
        </w:rPr>
        <w:t>）</w:t>
      </w:r>
    </w:p>
    <w:tbl>
      <w:tblPr>
        <w:tblStyle w:val="12"/>
        <w:tblW w:w="10977" w:type="dxa"/>
        <w:tblInd w:w="-1198" w:type="dxa"/>
        <w:tblLayout w:type="fixed"/>
        <w:tblCellMar>
          <w:top w:w="0" w:type="dxa"/>
          <w:left w:w="108" w:type="dxa"/>
          <w:bottom w:w="0" w:type="dxa"/>
          <w:right w:w="108" w:type="dxa"/>
        </w:tblCellMar>
      </w:tblPr>
      <w:tblGrid>
        <w:gridCol w:w="465"/>
        <w:gridCol w:w="1036"/>
        <w:gridCol w:w="4176"/>
        <w:gridCol w:w="451"/>
        <w:gridCol w:w="390"/>
        <w:gridCol w:w="972"/>
        <w:gridCol w:w="988"/>
        <w:gridCol w:w="1849"/>
        <w:gridCol w:w="650"/>
      </w:tblGrid>
      <w:tr w14:paraId="3CD3C697">
        <w:tblPrEx>
          <w:tblCellMar>
            <w:top w:w="0" w:type="dxa"/>
            <w:left w:w="108" w:type="dxa"/>
            <w:bottom w:w="0" w:type="dxa"/>
            <w:right w:w="108" w:type="dxa"/>
          </w:tblCellMar>
        </w:tblPrEx>
        <w:trPr>
          <w:trHeight w:val="6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24CB8D4">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8DAF4D1">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商品名称</w:t>
            </w:r>
          </w:p>
        </w:tc>
        <w:tc>
          <w:tcPr>
            <w:tcW w:w="4176" w:type="dxa"/>
            <w:tcBorders>
              <w:top w:val="single" w:color="000000" w:sz="4" w:space="0"/>
              <w:left w:val="single" w:color="000000" w:sz="4" w:space="0"/>
              <w:bottom w:val="single" w:color="000000" w:sz="4" w:space="0"/>
              <w:right w:val="single" w:color="000000" w:sz="4" w:space="0"/>
            </w:tcBorders>
            <w:noWrap/>
            <w:vAlign w:val="center"/>
          </w:tcPr>
          <w:p w14:paraId="7A88A229">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技术参数</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4BABD24E">
            <w:pPr>
              <w:widowControl/>
              <w:spacing w:line="240" w:lineRule="auto"/>
              <w:ind w:firstLine="0"/>
              <w:textAlignment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数量</w:t>
            </w:r>
          </w:p>
        </w:tc>
        <w:tc>
          <w:tcPr>
            <w:tcW w:w="390" w:type="dxa"/>
            <w:tcBorders>
              <w:top w:val="single" w:color="000000" w:sz="4" w:space="0"/>
              <w:left w:val="single" w:color="000000" w:sz="4" w:space="0"/>
              <w:bottom w:val="single" w:color="000000" w:sz="4" w:space="0"/>
              <w:right w:val="single" w:color="000000" w:sz="4" w:space="0"/>
            </w:tcBorders>
            <w:noWrap/>
            <w:vAlign w:val="center"/>
          </w:tcPr>
          <w:p w14:paraId="558E9F9E">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val="en-US" w:eastAsia="zh-CN"/>
              </w:rPr>
              <w:t>单位</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51BEC42B">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最高单价</w:t>
            </w:r>
          </w:p>
        </w:tc>
        <w:tc>
          <w:tcPr>
            <w:tcW w:w="988" w:type="dxa"/>
            <w:tcBorders>
              <w:top w:val="single" w:color="000000" w:sz="4" w:space="0"/>
              <w:left w:val="single" w:color="000000" w:sz="4" w:space="0"/>
              <w:bottom w:val="single" w:color="000000" w:sz="4" w:space="0"/>
              <w:right w:val="single" w:color="auto" w:sz="4" w:space="0"/>
            </w:tcBorders>
            <w:noWrap/>
            <w:vAlign w:val="center"/>
          </w:tcPr>
          <w:p w14:paraId="7243F440">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总价</w:t>
            </w:r>
          </w:p>
        </w:tc>
        <w:tc>
          <w:tcPr>
            <w:tcW w:w="1849" w:type="dxa"/>
            <w:tcBorders>
              <w:top w:val="single" w:color="auto" w:sz="4" w:space="0"/>
              <w:left w:val="single" w:color="auto" w:sz="4" w:space="0"/>
              <w:bottom w:val="single" w:color="auto" w:sz="4" w:space="0"/>
              <w:right w:val="single" w:color="auto" w:sz="4" w:space="0"/>
            </w:tcBorders>
            <w:noWrap/>
            <w:vAlign w:val="center"/>
          </w:tcPr>
          <w:p w14:paraId="32DD77FE">
            <w:pPr>
              <w:widowControl/>
              <w:spacing w:line="240" w:lineRule="auto"/>
              <w:ind w:left="0" w:leftChars="0" w:firstLine="0" w:firstLineChars="0"/>
              <w:textAlignment w:val="center"/>
              <w:rPr>
                <w:rFonts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45B486E6">
            <w:pPr>
              <w:widowControl/>
              <w:spacing w:line="240" w:lineRule="auto"/>
              <w:ind w:left="0" w:leftChars="0" w:firstLine="0" w:firstLineChars="0"/>
              <w:textAlignment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备注</w:t>
            </w:r>
          </w:p>
        </w:tc>
      </w:tr>
      <w:tr w14:paraId="4F92449C">
        <w:tblPrEx>
          <w:tblCellMar>
            <w:top w:w="0" w:type="dxa"/>
            <w:left w:w="108" w:type="dxa"/>
            <w:bottom w:w="0" w:type="dxa"/>
            <w:right w:w="108" w:type="dxa"/>
          </w:tblCellMar>
        </w:tblPrEx>
        <w:trPr>
          <w:trHeight w:val="1186"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BCB359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83A4DA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color w:val="000000"/>
                <w:sz w:val="18"/>
                <w:szCs w:val="18"/>
              </w:rPr>
            </w:pPr>
            <w:r>
              <w:rPr>
                <w:rFonts w:hint="eastAsia" w:ascii="宋体" w:hAnsi="宋体" w:eastAsia="宋体" w:cs="宋体"/>
                <w:b w:val="0"/>
                <w:bCs w:val="0"/>
                <w:color w:val="auto"/>
                <w:sz w:val="24"/>
                <w:szCs w:val="24"/>
                <w:lang w:val="en-US" w:eastAsia="zh-CN"/>
              </w:rPr>
              <w:t>一种产生单色X射线的光管及曲面弯晶晶体的整体封装的分光系统</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6BB9E58C">
            <w:pPr>
              <w:keepNext w:val="0"/>
              <w:keepLines w:val="0"/>
              <w:widowControl/>
              <w:numPr>
                <w:ilvl w:val="0"/>
                <w:numId w:val="2"/>
              </w:numPr>
              <w:suppressLineNumbers w:val="0"/>
              <w:spacing w:line="240" w:lineRule="auto"/>
              <w:ind w:left="0" w:leftChars="0" w:firstLine="0" w:firstLineChars="0"/>
              <w:jc w:val="left"/>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光源系统：微焦班Cr靶光管、功率30kV、1mA；</w:t>
            </w:r>
          </w:p>
          <w:p w14:paraId="76E7AB6C">
            <w:pPr>
              <w:keepNext w:val="0"/>
              <w:keepLines w:val="0"/>
              <w:widowControl/>
              <w:numPr>
                <w:ilvl w:val="0"/>
                <w:numId w:val="2"/>
              </w:numPr>
              <w:suppressLineNumbers w:val="0"/>
              <w:spacing w:line="240" w:lineRule="auto"/>
              <w:ind w:left="0" w:leftChars="0" w:firstLine="0" w:firstLineChars="0"/>
              <w:jc w:val="left"/>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封装工艺：固体封装；</w:t>
            </w:r>
          </w:p>
          <w:p w14:paraId="31323E20">
            <w:pPr>
              <w:keepNext w:val="0"/>
              <w:keepLines w:val="0"/>
              <w:widowControl/>
              <w:numPr>
                <w:ilvl w:val="0"/>
                <w:numId w:val="2"/>
              </w:numPr>
              <w:suppressLineNumbers w:val="0"/>
              <w:spacing w:line="240" w:lineRule="auto"/>
              <w:ind w:left="0" w:leftChars="0" w:firstLine="0" w:firstLineChars="0"/>
              <w:jc w:val="left"/>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散热工艺：固定风通道散热；</w:t>
            </w:r>
          </w:p>
          <w:p w14:paraId="28ED4F58">
            <w:pPr>
              <w:keepNext w:val="0"/>
              <w:keepLines w:val="0"/>
              <w:widowControl/>
              <w:numPr>
                <w:ilvl w:val="0"/>
                <w:numId w:val="2"/>
              </w:numPr>
              <w:suppressLineNumbers w:val="0"/>
              <w:spacing w:line="240" w:lineRule="auto"/>
              <w:ind w:left="0" w:leftChars="0" w:firstLine="0" w:firstLineChars="0"/>
              <w:jc w:val="left"/>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单色工艺：双曲面晶体，全聚焦型；</w:t>
            </w:r>
          </w:p>
          <w:p w14:paraId="6705243F">
            <w:pPr>
              <w:keepNext w:val="0"/>
              <w:keepLines w:val="0"/>
              <w:widowControl/>
              <w:numPr>
                <w:ilvl w:val="0"/>
                <w:numId w:val="2"/>
              </w:numPr>
              <w:suppressLineNumbers w:val="0"/>
              <w:spacing w:line="240" w:lineRule="auto"/>
              <w:ind w:left="0" w:leftChars="0" w:firstLine="0" w:firstLineChars="0"/>
              <w:jc w:val="left"/>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晶体封装工艺：全偏振封装。</w:t>
            </w:r>
          </w:p>
          <w:p w14:paraId="6ACACF52">
            <w:pPr>
              <w:keepNext w:val="0"/>
              <w:keepLines w:val="0"/>
              <w:widowControl/>
              <w:numPr>
                <w:ilvl w:val="0"/>
                <w:numId w:val="2"/>
              </w:numPr>
              <w:suppressLineNumbers w:val="0"/>
              <w:spacing w:line="240" w:lineRule="auto"/>
              <w:ind w:left="0" w:leftChars="0" w:firstLine="0" w:firstLineChars="0"/>
              <w:jc w:val="left"/>
              <w:textAlignment w:val="center"/>
              <w:rPr>
                <w:rFonts w:hint="default" w:ascii="宋体" w:hAnsi="宋体" w:cs="宋体"/>
                <w:color w:val="000000"/>
                <w:sz w:val="18"/>
                <w:szCs w:val="18"/>
                <w:lang w:val="en-US" w:eastAsia="zh-CN"/>
              </w:rPr>
            </w:pPr>
            <w:r>
              <w:rPr>
                <w:rFonts w:hint="default" w:ascii="宋体" w:hAnsi="宋体" w:cs="宋体"/>
                <w:color w:val="000000"/>
                <w:sz w:val="18"/>
                <w:szCs w:val="18"/>
                <w:lang w:val="en-US" w:eastAsia="zh-CN"/>
              </w:rPr>
              <w:t>采用双曲面弯晶晶体进行单色聚焦后，入射强度高且稳定。激发源，提升待测元素的荧光强度，入射能量聚焦到样品较小点或面，利于元素荧光射线的收集和探测。</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72E74A2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390" w:type="dxa"/>
            <w:tcBorders>
              <w:top w:val="single" w:color="000000" w:sz="4" w:space="0"/>
              <w:left w:val="single" w:color="000000" w:sz="4" w:space="0"/>
              <w:bottom w:val="single" w:color="000000" w:sz="4" w:space="0"/>
              <w:right w:val="single" w:color="000000" w:sz="4" w:space="0"/>
            </w:tcBorders>
            <w:noWrap/>
            <w:vAlign w:val="center"/>
          </w:tcPr>
          <w:p w14:paraId="11271E5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套</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3D1F262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262000元</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C2A3271">
            <w:pPr>
              <w:keepNext w:val="0"/>
              <w:keepLines w:val="0"/>
              <w:widowControl/>
              <w:suppressLineNumbers w:val="0"/>
              <w:spacing w:line="240" w:lineRule="auto"/>
              <w:ind w:left="0" w:leftChars="0" w:firstLine="0" w:firstLineChars="0"/>
              <w:jc w:val="both"/>
              <w:textAlignment w:val="center"/>
              <w:rPr>
                <w:rFonts w:ascii="宋体" w:hAnsi="宋体" w:cs="宋体"/>
                <w:color w:val="000000"/>
                <w:sz w:val="18"/>
                <w:szCs w:val="18"/>
              </w:rPr>
            </w:pPr>
            <w:r>
              <w:rPr>
                <w:rFonts w:hint="eastAsia" w:ascii="宋体" w:hAnsi="宋体" w:eastAsia="宋体" w:cs="宋体"/>
                <w:b w:val="0"/>
                <w:bCs w:val="0"/>
                <w:color w:val="000000"/>
                <w:sz w:val="18"/>
                <w:szCs w:val="18"/>
              </w:rPr>
              <w:t>262000元</w:t>
            </w:r>
          </w:p>
        </w:tc>
        <w:tc>
          <w:tcPr>
            <w:tcW w:w="1849" w:type="dxa"/>
            <w:tcBorders>
              <w:top w:val="single" w:color="auto" w:sz="4" w:space="0"/>
              <w:left w:val="single" w:color="000000" w:sz="4" w:space="0"/>
              <w:bottom w:val="single" w:color="auto" w:sz="4" w:space="0"/>
              <w:right w:val="single" w:color="000000" w:sz="4" w:space="0"/>
            </w:tcBorders>
            <w:noWrap/>
            <w:vAlign w:val="center"/>
          </w:tcPr>
          <w:p w14:paraId="1DA9B0A8">
            <w:pPr>
              <w:spacing w:line="240" w:lineRule="auto"/>
              <w:jc w:val="center"/>
              <w:rPr>
                <w:rFonts w:hint="eastAsia" w:ascii="宋体" w:hAnsi="宋体" w:eastAsia="宋体" w:cs="宋体"/>
                <w:b/>
                <w:bCs/>
                <w:color w:val="000000"/>
                <w:sz w:val="18"/>
                <w:szCs w:val="18"/>
                <w:lang w:eastAsia="zh-CN"/>
              </w:rPr>
            </w:pPr>
          </w:p>
        </w:tc>
        <w:tc>
          <w:tcPr>
            <w:tcW w:w="650" w:type="dxa"/>
            <w:tcBorders>
              <w:top w:val="single" w:color="auto" w:sz="4" w:space="0"/>
              <w:left w:val="single" w:color="000000" w:sz="4" w:space="0"/>
              <w:bottom w:val="single" w:color="auto" w:sz="4" w:space="0"/>
              <w:right w:val="single" w:color="000000" w:sz="4" w:space="0"/>
            </w:tcBorders>
            <w:noWrap/>
            <w:vAlign w:val="center"/>
          </w:tcPr>
          <w:p w14:paraId="6C3308A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bCs/>
                <w:color w:val="000000"/>
                <w:sz w:val="18"/>
                <w:szCs w:val="18"/>
                <w:lang w:eastAsia="zh-CN"/>
              </w:rPr>
            </w:pPr>
          </w:p>
        </w:tc>
      </w:tr>
    </w:tbl>
    <w:p w14:paraId="4736716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297B9734">
      <w:pPr>
        <w:numPr>
          <w:ilvl w:val="0"/>
          <w:numId w:val="3"/>
        </w:numPr>
        <w:rPr>
          <w:rFonts w:hint="eastAsia" w:ascii="宋体" w:hAnsi="宋体" w:cs="宋体"/>
          <w:szCs w:val="21"/>
        </w:rPr>
      </w:pPr>
      <w:bookmarkStart w:id="0" w:name="bookmark1"/>
      <w:bookmarkStart w:id="1" w:name="bookmark2"/>
      <w:bookmarkStart w:id="2" w:name="bookmark0"/>
      <w:r>
        <w:rPr>
          <w:rFonts w:hint="eastAsia" w:ascii="宋体" w:hAnsi="宋体"/>
        </w:rPr>
        <w:t>报价方式</w:t>
      </w:r>
      <w:r>
        <w:rPr>
          <w:rFonts w:hint="eastAsia" w:ascii="宋体" w:hAnsi="宋体"/>
          <w:lang w:eastAsia="zh-CN"/>
        </w:rPr>
        <w:t>：</w:t>
      </w:r>
      <w:r>
        <w:rPr>
          <w:rFonts w:hint="eastAsia" w:ascii="宋体" w:hAnsi="宋体" w:cs="宋体"/>
          <w:szCs w:val="21"/>
        </w:rPr>
        <w:t>本次报价方式报总价，提供分项报价。综合单</w:t>
      </w:r>
      <w:r>
        <w:rPr>
          <w:rFonts w:hint="eastAsia" w:ascii="宋体" w:hAnsi="宋体" w:eastAsia="宋体" w:cs="宋体"/>
          <w:szCs w:val="21"/>
        </w:rPr>
        <w:t>价中应包包含商品到达采购人指定地点并能正常使用所需的一切费用，包括但不限于商品购置费、包装费、运输费、装卸费、保险费、安装调试费、技术服务费、培训费以及保修费、税费等一切费用。</w:t>
      </w:r>
    </w:p>
    <w:p w14:paraId="702E4D9B">
      <w:pPr>
        <w:numPr>
          <w:ilvl w:val="0"/>
          <w:numId w:val="3"/>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w:t>
      </w:r>
      <w:r>
        <w:rPr>
          <w:rFonts w:hint="eastAsia" w:ascii="宋体" w:hAnsi="宋体" w:cs="宋体"/>
          <w:szCs w:val="21"/>
          <w:highlight w:val="yellow"/>
          <w:lang w:val="en-US" w:eastAsia="zh-CN"/>
        </w:rPr>
        <w:t>1</w:t>
      </w:r>
      <w:r>
        <w:rPr>
          <w:rFonts w:hint="eastAsia" w:ascii="宋体" w:hAnsi="宋体" w:cs="宋体"/>
          <w:szCs w:val="21"/>
          <w:highlight w:val="yellow"/>
        </w:rPr>
        <w:t>年的免费产品质保</w:t>
      </w:r>
      <w:r>
        <w:rPr>
          <w:rFonts w:hint="eastAsia" w:ascii="宋体" w:hAnsi="宋体" w:cs="宋体"/>
          <w:szCs w:val="21"/>
        </w:rPr>
        <w:t>。</w:t>
      </w:r>
    </w:p>
    <w:p w14:paraId="43C658BD">
      <w:pPr>
        <w:numPr>
          <w:ilvl w:val="0"/>
          <w:numId w:val="3"/>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w:t>
      </w:r>
      <w:r>
        <w:rPr>
          <w:rFonts w:hint="eastAsia" w:ascii="宋体" w:hAnsi="宋体" w:cs="宋体"/>
          <w:szCs w:val="21"/>
          <w:highlight w:val="yellow"/>
          <w:lang w:val="en-US" w:eastAsia="zh-CN"/>
        </w:rPr>
        <w:t>30</w:t>
      </w:r>
      <w:r>
        <w:rPr>
          <w:rFonts w:hint="eastAsia" w:ascii="宋体" w:hAnsi="宋体" w:cs="宋体"/>
          <w:szCs w:val="21"/>
          <w:highlight w:val="yellow"/>
        </w:rPr>
        <w:t>个工作日内</w:t>
      </w:r>
      <w:r>
        <w:rPr>
          <w:rFonts w:hint="eastAsia" w:ascii="宋体" w:hAnsi="宋体" w:cs="宋体"/>
          <w:szCs w:val="21"/>
        </w:rPr>
        <w:t xml:space="preserve">将合格货物及时送达甲方指定的地点并完成安装摆放调试，如未按采购人指定技术参数及款式提供样品或不按规定时间安装到位的，采购方有权终止合同。 </w:t>
      </w:r>
    </w:p>
    <w:p w14:paraId="33438397">
      <w:pPr>
        <w:pStyle w:val="6"/>
        <w:numPr>
          <w:ilvl w:val="0"/>
          <w:numId w:val="3"/>
        </w:numPr>
        <w:spacing w:line="360" w:lineRule="auto"/>
        <w:rPr>
          <w:rFonts w:hint="eastAsia" w:ascii="宋体" w:hAnsi="宋体" w:eastAsia="宋体" w:cs="Times New Roman"/>
          <w:b w:val="0"/>
          <w:bCs w:val="0"/>
        </w:rPr>
      </w:pPr>
      <w:r>
        <w:rPr>
          <w:rFonts w:hint="eastAsia" w:ascii="宋体" w:hAnsi="宋体" w:eastAsia="宋体" w:cs="宋体"/>
          <w:b w:val="0"/>
          <w:bCs w:val="0"/>
          <w:highlight w:val="yellow"/>
        </w:rPr>
        <w:t>售后服务</w:t>
      </w:r>
      <w:r>
        <w:rPr>
          <w:rFonts w:hint="eastAsia" w:ascii="宋体" w:hAnsi="宋体" w:eastAsia="宋体" w:cs="宋体"/>
          <w:b w:val="0"/>
          <w:bCs w:val="0"/>
        </w:rPr>
        <w:t>：</w:t>
      </w:r>
      <w:r>
        <w:rPr>
          <w:rFonts w:hint="eastAsia" w:ascii="宋体" w:hAnsi="宋体" w:eastAsia="宋体" w:cs="宋体"/>
          <w:b w:val="0"/>
          <w:bCs w:val="0"/>
          <w:highlight w:val="yellow"/>
        </w:rPr>
        <w:t>温州有售后服务点，若报修，乙方应在3小时内派遣相关人员赶赴现场，24小时内维修完毕；发生紧急抢修事故的，乙方应在接到甲方通知后1.5小时内到达现场抢修，并于到达现场12小时之内排除故障。乙方未在约定时间内修复的或同一货物经3次维修后仍不能稳定、可靠运行的，甲方有权要求乙方免费更换。返修或更换后的部件保修</w:t>
      </w:r>
      <w:r>
        <w:rPr>
          <w:rFonts w:hint="eastAsia" w:ascii="宋体" w:hAnsi="宋体" w:eastAsia="宋体" w:cs="Times New Roman"/>
          <w:b w:val="0"/>
          <w:bCs w:val="0"/>
          <w:highlight w:val="yellow"/>
        </w:rPr>
        <w:t>期应重新计算</w:t>
      </w:r>
      <w:r>
        <w:rPr>
          <w:rFonts w:hint="eastAsia" w:ascii="宋体" w:hAnsi="宋体" w:eastAsia="宋体" w:cs="Times New Roman"/>
          <w:b w:val="0"/>
          <w:bCs w:val="0"/>
        </w:rPr>
        <w:t>。</w:t>
      </w:r>
    </w:p>
    <w:p w14:paraId="190A3A1F">
      <w:pPr>
        <w:pStyle w:val="6"/>
        <w:numPr>
          <w:ilvl w:val="0"/>
          <w:numId w:val="3"/>
        </w:numPr>
        <w:spacing w:line="360" w:lineRule="auto"/>
        <w:rPr>
          <w:rFonts w:hint="eastAsia" w:ascii="宋体" w:hAnsi="宋体" w:eastAsia="宋体" w:cs="Times New Roman"/>
          <w:b w:val="0"/>
          <w:bCs w:val="0"/>
          <w:lang w:val="en-US" w:eastAsia="zh-CN"/>
        </w:rPr>
      </w:pPr>
      <w:r>
        <w:rPr>
          <w:rFonts w:hint="eastAsia" w:ascii="宋体" w:hAnsi="宋体" w:eastAsia="宋体" w:cs="Times New Roman"/>
          <w:b w:val="0"/>
          <w:bCs w:val="0"/>
          <w:highlight w:val="yellow"/>
          <w:lang w:val="en-US" w:eastAsia="zh-CN"/>
        </w:rPr>
        <w:t>到货地点</w:t>
      </w:r>
      <w:r>
        <w:rPr>
          <w:rFonts w:hint="eastAsia" w:ascii="宋体" w:hAnsi="宋体" w:eastAsia="宋体" w:cs="Times New Roman"/>
          <w:b w:val="0"/>
          <w:bCs w:val="0"/>
          <w:lang w:val="en-US" w:eastAsia="zh-CN"/>
        </w:rPr>
        <w:t>：</w:t>
      </w:r>
      <w:r>
        <w:rPr>
          <w:rFonts w:hint="eastAsia" w:ascii="宋体" w:hAnsi="宋体" w:cs="Times New Roman"/>
          <w:b w:val="0"/>
          <w:bCs w:val="0"/>
          <w:highlight w:val="yellow"/>
          <w:lang w:val="en-US" w:eastAsia="zh-CN"/>
        </w:rPr>
        <w:t>浙江大学温州研究院</w:t>
      </w:r>
      <w:r>
        <w:rPr>
          <w:rFonts w:hint="eastAsia" w:ascii="宋体" w:hAnsi="宋体" w:eastAsia="宋体" w:cs="Times New Roman"/>
          <w:b w:val="0"/>
          <w:bCs w:val="0"/>
          <w:highlight w:val="yellow"/>
          <w:lang w:val="en-US" w:eastAsia="zh-CN"/>
        </w:rPr>
        <w:t>指定地点</w:t>
      </w:r>
      <w:r>
        <w:rPr>
          <w:rFonts w:hint="eastAsia" w:ascii="宋体" w:hAnsi="宋体" w:eastAsia="宋体" w:cs="Times New Roman"/>
          <w:b w:val="0"/>
          <w:bCs w:val="0"/>
          <w:lang w:val="en-US" w:eastAsia="zh-CN"/>
        </w:rPr>
        <w:t>。</w:t>
      </w:r>
    </w:p>
    <w:p w14:paraId="64EDFBDA">
      <w:pPr>
        <w:pStyle w:val="6"/>
        <w:numPr>
          <w:ilvl w:val="0"/>
          <w:numId w:val="3"/>
        </w:numPr>
        <w:spacing w:line="360" w:lineRule="auto"/>
        <w:rPr>
          <w:rFonts w:hint="eastAsia" w:ascii="宋体" w:hAnsi="宋体" w:eastAsia="宋体" w:cs="Times New Roman"/>
          <w:b w:val="0"/>
          <w:bCs w:val="0"/>
          <w:lang w:val="en-US" w:eastAsia="zh-CN"/>
        </w:rPr>
        <w:sectPr>
          <w:headerReference r:id="rId8" w:type="first"/>
          <w:footerReference r:id="rId10" w:type="first"/>
          <w:headerReference r:id="rId7" w:type="default"/>
          <w:footerReference r:id="rId9" w:type="default"/>
          <w:pgSz w:w="11906" w:h="16838"/>
          <w:pgMar w:top="1240" w:right="1800" w:bottom="1440" w:left="1800" w:header="851" w:footer="992" w:gutter="0"/>
          <w:pgBorders>
            <w:top w:val="none" w:sz="0" w:space="0"/>
            <w:left w:val="none" w:sz="0" w:space="0"/>
            <w:bottom w:val="none" w:sz="0" w:space="0"/>
            <w:right w:val="none" w:sz="0" w:space="0"/>
          </w:pgBorders>
          <w:pgNumType w:fmt="decimal" w:start="5"/>
          <w:cols w:space="720" w:num="1"/>
          <w:titlePg/>
          <w:docGrid w:type="lines" w:linePitch="312" w:charSpace="0"/>
        </w:sectPr>
      </w:pPr>
      <w:r>
        <w:rPr>
          <w:rFonts w:hint="eastAsia" w:ascii="宋体" w:hAnsi="宋体" w:eastAsia="宋体" w:cs="Times New Roman"/>
          <w:b w:val="0"/>
          <w:bCs w:val="0"/>
          <w:lang w:val="en-US" w:eastAsia="zh-CN"/>
        </w:rPr>
        <w:t>对规格参数要求有任何疑问，请联系</w:t>
      </w:r>
      <w:r>
        <w:rPr>
          <w:rFonts w:hint="eastAsia" w:ascii="宋体" w:hAnsi="宋体" w:cs="Times New Roman"/>
          <w:b w:val="0"/>
          <w:bCs w:val="0"/>
          <w:lang w:val="en-US" w:eastAsia="zh-CN"/>
        </w:rPr>
        <w:t>需求人</w:t>
      </w:r>
      <w:r>
        <w:rPr>
          <w:rFonts w:hint="eastAsia" w:ascii="宋体" w:hAnsi="宋体" w:cs="Times New Roman"/>
          <w:b w:val="0"/>
          <w:bCs w:val="0"/>
          <w:highlight w:val="yellow"/>
          <w:lang w:val="en-US" w:eastAsia="zh-CN"/>
        </w:rPr>
        <w:t>范鸿博</w:t>
      </w:r>
      <w:r>
        <w:rPr>
          <w:rFonts w:hint="eastAsia" w:ascii="宋体" w:hAnsi="宋体" w:eastAsia="宋体" w:cs="Times New Roman"/>
          <w:b w:val="0"/>
          <w:bCs w:val="0"/>
          <w:highlight w:val="yellow"/>
          <w:lang w:val="en-US" w:eastAsia="zh-CN"/>
        </w:rPr>
        <w:t>：</w:t>
      </w:r>
      <w:r>
        <w:rPr>
          <w:rFonts w:hint="eastAsia" w:ascii="宋体" w:hAnsi="宋体" w:cs="Times New Roman"/>
          <w:b w:val="0"/>
          <w:bCs w:val="0"/>
          <w:highlight w:val="yellow"/>
          <w:lang w:val="en-US" w:eastAsia="zh-CN"/>
        </w:rPr>
        <w:t>18684251888</w:t>
      </w:r>
    </w:p>
    <w:p w14:paraId="0D9E48F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lang w:eastAsia="zh-CN"/>
        </w:rPr>
        <w:t>三</w:t>
      </w:r>
      <w:r>
        <w:rPr>
          <w:rFonts w:hint="eastAsia" w:ascii="微软雅黑" w:hAnsi="微软雅黑" w:eastAsia="微软雅黑" w:cs="宋体"/>
          <w:b/>
          <w:bCs/>
          <w:sz w:val="36"/>
          <w:szCs w:val="36"/>
        </w:rPr>
        <w:t>、响应须知</w:t>
      </w:r>
    </w:p>
    <w:bookmarkEnd w:id="0"/>
    <w:bookmarkEnd w:id="1"/>
    <w:bookmarkEnd w:id="2"/>
    <w:p w14:paraId="3C0C71C2">
      <w:pPr>
        <w:numPr>
          <w:ilvl w:val="0"/>
          <w:numId w:val="4"/>
        </w:numPr>
        <w:tabs>
          <w:tab w:val="left" w:pos="312"/>
        </w:tabs>
        <w:rPr>
          <w:b/>
          <w:color w:val="auto"/>
        </w:rPr>
      </w:pPr>
      <w:r>
        <w:rPr>
          <w:rFonts w:hint="eastAsia" w:ascii="宋体" w:hAnsi="宋体"/>
          <w:b/>
          <w:color w:val="auto"/>
        </w:rPr>
        <w:t>所有报价供应商均为认同并遵守本在线询价中的所有要求。</w:t>
      </w:r>
    </w:p>
    <w:p w14:paraId="61BBDAE4">
      <w:pPr>
        <w:numPr>
          <w:ilvl w:val="0"/>
          <w:numId w:val="4"/>
        </w:numPr>
        <w:tabs>
          <w:tab w:val="left" w:pos="312"/>
        </w:tabs>
        <w:rPr>
          <w:b/>
          <w:color w:val="auto"/>
        </w:rPr>
      </w:pPr>
      <w:r>
        <w:rPr>
          <w:rFonts w:hint="eastAsia"/>
          <w:b/>
          <w:color w:val="auto"/>
        </w:rPr>
        <w:t>中标供应商如因自身原因放弃项目的中标资格或者拒签合同的，原则上不得参加对该项目重新开展的采购活动。</w:t>
      </w:r>
    </w:p>
    <w:p w14:paraId="6D446715">
      <w:pPr>
        <w:numPr>
          <w:ilvl w:val="0"/>
          <w:numId w:val="4"/>
        </w:numPr>
        <w:tabs>
          <w:tab w:val="left" w:pos="312"/>
        </w:tabs>
        <w:rPr>
          <w:b/>
          <w:color w:val="auto"/>
        </w:rPr>
      </w:pPr>
      <w:r>
        <w:rPr>
          <w:rFonts w:hint="eastAsia" w:ascii="宋体" w:hAnsi="宋体"/>
          <w:b/>
          <w:color w:val="auto"/>
        </w:rPr>
        <w:t>针对上述要求，报价单位必须认真审核本在线询价采购文件中的所有要求。</w:t>
      </w:r>
    </w:p>
    <w:p w14:paraId="7C6B7C6C">
      <w:pPr>
        <w:tabs>
          <w:tab w:val="left" w:pos="-200"/>
          <w:tab w:val="left" w:pos="0"/>
        </w:tabs>
        <w:spacing w:line="240" w:lineRule="auto"/>
        <w:rPr>
          <w:rFonts w:hint="eastAsia" w:ascii="宋体" w:hAnsi="宋体" w:cs="宋体"/>
          <w:color w:val="auto"/>
          <w:sz w:val="21"/>
          <w:szCs w:val="21"/>
          <w:highlight w:val="none"/>
          <w:lang w:val="en-US" w:eastAsia="zh-CN"/>
        </w:rPr>
        <w:sectPr>
          <w:headerReference r:id="rId11" w:type="default"/>
          <w:footerReference r:id="rId12" w:type="default"/>
          <w:type w:val="continuous"/>
          <w:pgSz w:w="11906" w:h="16838"/>
          <w:pgMar w:top="851" w:right="1800" w:bottom="1440" w:left="1800" w:header="851" w:footer="992" w:gutter="0"/>
          <w:cols w:space="720" w:num="1"/>
          <w:docGrid w:type="lines" w:linePitch="312" w:charSpace="0"/>
        </w:sectPr>
      </w:pPr>
      <w:r>
        <w:rPr>
          <w:rFonts w:hint="eastAsia" w:ascii="宋体" w:hAnsi="宋体"/>
          <w:b/>
          <w:color w:val="auto"/>
          <w:highlight w:val="none"/>
        </w:rPr>
        <w:t>报价供应商需</w:t>
      </w:r>
      <w:r>
        <w:rPr>
          <w:rFonts w:hint="eastAsia" w:ascii="宋体" w:hAnsi="宋体"/>
          <w:b/>
          <w:color w:val="auto"/>
          <w:highlight w:val="none"/>
          <w:lang w:val="en-US" w:eastAsia="zh-CN"/>
        </w:rPr>
        <w:t>将加盖公章的合格有效的企业营业执照复印件、报价单（附件1）文件发送至邮箱zdwzyjy2023@163.com，</w:t>
      </w:r>
      <w:r>
        <w:rPr>
          <w:rFonts w:hint="eastAsia" w:ascii="宋体" w:hAnsi="宋体"/>
          <w:b/>
          <w:color w:val="auto"/>
          <w:highlight w:val="none"/>
        </w:rPr>
        <w:t>未按要求提交的供应商，采购人可按无效响应处理。</w:t>
      </w:r>
    </w:p>
    <w:p w14:paraId="61E7B64E">
      <w:pPr>
        <w:tabs>
          <w:tab w:val="left" w:pos="-200"/>
          <w:tab w:val="left" w:pos="0"/>
        </w:tabs>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附</w:t>
      </w:r>
      <w:r>
        <w:rPr>
          <w:rFonts w:hint="eastAsia" w:ascii="宋体" w:hAnsi="宋体" w:cs="宋体"/>
          <w:color w:val="auto"/>
          <w:sz w:val="21"/>
          <w:szCs w:val="21"/>
          <w:highlight w:val="none"/>
        </w:rPr>
        <w:t>件1：  报价单</w:t>
      </w:r>
    </w:p>
    <w:p w14:paraId="10AD4E79">
      <w:pPr>
        <w:ind w:firstLine="6160" w:firstLineChars="1400"/>
        <w:rPr>
          <w:rFonts w:hint="eastAsia" w:ascii="宋体" w:hAnsi="宋体" w:cs="宋体"/>
          <w:color w:val="auto"/>
          <w:sz w:val="21"/>
          <w:szCs w:val="21"/>
          <w:highlight w:val="none"/>
        </w:rPr>
      </w:pPr>
      <w:r>
        <w:rPr>
          <w:rFonts w:hint="eastAsia" w:ascii="方正小标宋简体" w:eastAsia="方正小标宋简体"/>
          <w:sz w:val="44"/>
          <w:szCs w:val="44"/>
          <w:lang w:val="en-US" w:eastAsia="zh-CN"/>
        </w:rPr>
        <w:t xml:space="preserve">报 </w:t>
      </w:r>
      <w:r>
        <w:rPr>
          <w:rFonts w:hint="eastAsia" w:ascii="方正小标宋简体" w:eastAsia="方正小标宋简体"/>
          <w:sz w:val="44"/>
          <w:szCs w:val="44"/>
        </w:rPr>
        <w:t>价 单</w:t>
      </w:r>
    </w:p>
    <w:tbl>
      <w:tblPr>
        <w:tblStyle w:val="13"/>
        <w:tblpPr w:leftFromText="180" w:rightFromText="180" w:vertAnchor="text" w:horzAnchor="margin" w:tblpX="-254" w:tblpY="11"/>
        <w:tblW w:w="14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245"/>
        <w:gridCol w:w="1500"/>
        <w:gridCol w:w="1350"/>
        <w:gridCol w:w="1695"/>
        <w:gridCol w:w="1090"/>
        <w:gridCol w:w="1035"/>
        <w:gridCol w:w="1035"/>
        <w:gridCol w:w="905"/>
        <w:gridCol w:w="1477"/>
        <w:gridCol w:w="1363"/>
        <w:gridCol w:w="1409"/>
        <w:gridCol w:w="5"/>
      </w:tblGrid>
      <w:tr w14:paraId="1A7B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45" w:type="dxa"/>
            <w:gridSpan w:val="4"/>
            <w:vAlign w:val="center"/>
          </w:tcPr>
          <w:p w14:paraId="4E93CB8D">
            <w:pPr>
              <w:jc w:val="center"/>
              <w:rPr>
                <w:rFonts w:hint="default" w:asciiTheme="minorEastAsia" w:hAnsiTheme="minorEastAsia" w:eastAsiaTheme="minorEastAsia"/>
                <w:sz w:val="24"/>
                <w:szCs w:val="24"/>
                <w:lang w:val="en-US" w:eastAsia="zh-CN"/>
              </w:rPr>
            </w:pPr>
            <w:r>
              <w:rPr>
                <w:rFonts w:hint="eastAsia"/>
                <w:sz w:val="24"/>
              </w:rPr>
              <w:t>投标项目名称</w:t>
            </w:r>
            <w:r>
              <w:rPr>
                <w:rFonts w:hint="eastAsia"/>
                <w:sz w:val="24"/>
                <w:lang w:val="en-US" w:eastAsia="zh-CN"/>
              </w:rPr>
              <w:t>及编号</w:t>
            </w:r>
          </w:p>
        </w:tc>
        <w:tc>
          <w:tcPr>
            <w:tcW w:w="10014" w:type="dxa"/>
            <w:gridSpan w:val="9"/>
            <w:vAlign w:val="center"/>
          </w:tcPr>
          <w:p w14:paraId="394EF110">
            <w:pPr>
              <w:jc w:val="center"/>
              <w:rPr>
                <w:rFonts w:hint="eastAsia" w:asciiTheme="minorEastAsia" w:hAnsiTheme="minorEastAsia"/>
                <w:sz w:val="24"/>
                <w:szCs w:val="24"/>
              </w:rPr>
            </w:pPr>
          </w:p>
        </w:tc>
      </w:tr>
      <w:tr w14:paraId="6C8B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45" w:type="dxa"/>
            <w:gridSpan w:val="4"/>
            <w:vAlign w:val="center"/>
          </w:tcPr>
          <w:p w14:paraId="31E2CBD1">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报名投标单位名称及盖章</w:t>
            </w:r>
          </w:p>
        </w:tc>
        <w:tc>
          <w:tcPr>
            <w:tcW w:w="10014" w:type="dxa"/>
            <w:gridSpan w:val="9"/>
            <w:vAlign w:val="center"/>
          </w:tcPr>
          <w:p w14:paraId="4892FDDB">
            <w:pPr>
              <w:jc w:val="center"/>
              <w:rPr>
                <w:rFonts w:hint="eastAsia" w:asciiTheme="minorEastAsia" w:hAnsiTheme="minorEastAsia"/>
                <w:sz w:val="24"/>
                <w:szCs w:val="24"/>
              </w:rPr>
            </w:pPr>
          </w:p>
        </w:tc>
      </w:tr>
      <w:tr w14:paraId="1EE8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45" w:type="dxa"/>
            <w:gridSpan w:val="4"/>
            <w:vAlign w:val="center"/>
          </w:tcPr>
          <w:p w14:paraId="29D27810">
            <w:pPr>
              <w:jc w:val="center"/>
              <w:rPr>
                <w:rFonts w:hint="eastAsia" w:asciiTheme="minorEastAsia" w:hAnsiTheme="minorEastAsia"/>
                <w:sz w:val="24"/>
                <w:szCs w:val="24"/>
              </w:rPr>
            </w:pPr>
            <w:r>
              <w:rPr>
                <w:rFonts w:hint="eastAsia"/>
                <w:sz w:val="24"/>
              </w:rPr>
              <w:t>报名投标单位联系人及联系电话</w:t>
            </w:r>
          </w:p>
        </w:tc>
        <w:tc>
          <w:tcPr>
            <w:tcW w:w="10014" w:type="dxa"/>
            <w:gridSpan w:val="9"/>
            <w:vAlign w:val="center"/>
          </w:tcPr>
          <w:p w14:paraId="38A9628C">
            <w:pPr>
              <w:jc w:val="center"/>
              <w:rPr>
                <w:rFonts w:hint="eastAsia" w:asciiTheme="minorEastAsia" w:hAnsiTheme="minorEastAsia"/>
                <w:sz w:val="24"/>
                <w:szCs w:val="24"/>
              </w:rPr>
            </w:pPr>
          </w:p>
        </w:tc>
      </w:tr>
      <w:tr w14:paraId="405E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45" w:type="dxa"/>
            <w:gridSpan w:val="4"/>
            <w:vAlign w:val="center"/>
          </w:tcPr>
          <w:p w14:paraId="2C027EC2">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报名时间</w:t>
            </w:r>
          </w:p>
        </w:tc>
        <w:tc>
          <w:tcPr>
            <w:tcW w:w="10014" w:type="dxa"/>
            <w:gridSpan w:val="9"/>
            <w:vAlign w:val="center"/>
          </w:tcPr>
          <w:p w14:paraId="2162C38D">
            <w:pPr>
              <w:jc w:val="center"/>
              <w:rPr>
                <w:rFonts w:hint="eastAsia" w:asciiTheme="minorEastAsia" w:hAnsiTheme="minorEastAsia"/>
                <w:sz w:val="24"/>
                <w:szCs w:val="24"/>
              </w:rPr>
            </w:pPr>
          </w:p>
        </w:tc>
      </w:tr>
      <w:tr w14:paraId="4E87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494" w:hRule="atLeast"/>
        </w:trPr>
        <w:tc>
          <w:tcPr>
            <w:tcW w:w="750" w:type="dxa"/>
            <w:vAlign w:val="center"/>
          </w:tcPr>
          <w:p w14:paraId="39160839">
            <w:pPr>
              <w:ind w:left="0" w:leftChars="0" w:firstLine="0" w:firstLineChars="0"/>
              <w:jc w:val="both"/>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序号</w:t>
            </w:r>
          </w:p>
        </w:tc>
        <w:tc>
          <w:tcPr>
            <w:tcW w:w="1245" w:type="dxa"/>
            <w:vAlign w:val="center"/>
          </w:tcPr>
          <w:p w14:paraId="4F0DB910">
            <w:pPr>
              <w:ind w:left="0" w:leftChars="0" w:firstLine="0" w:firstLineChars="0"/>
              <w:jc w:val="both"/>
              <w:rPr>
                <w:rFonts w:asciiTheme="minorEastAsia" w:hAnsiTheme="minorEastAsia"/>
                <w:sz w:val="24"/>
                <w:szCs w:val="24"/>
              </w:rPr>
            </w:pPr>
            <w:r>
              <w:rPr>
                <w:rFonts w:hint="eastAsia" w:asciiTheme="minorEastAsia" w:hAnsiTheme="minorEastAsia"/>
                <w:sz w:val="24"/>
                <w:szCs w:val="24"/>
              </w:rPr>
              <w:t>商品名称</w:t>
            </w:r>
          </w:p>
        </w:tc>
        <w:tc>
          <w:tcPr>
            <w:tcW w:w="1500" w:type="dxa"/>
            <w:vAlign w:val="center"/>
          </w:tcPr>
          <w:p w14:paraId="62CCE7AE">
            <w:pPr>
              <w:ind w:left="0" w:leftChars="0" w:firstLine="0" w:firstLineChars="0"/>
              <w:jc w:val="both"/>
              <w:rPr>
                <w:rFonts w:asciiTheme="minorEastAsia" w:hAnsiTheme="minorEastAsia"/>
                <w:sz w:val="24"/>
                <w:szCs w:val="24"/>
              </w:rPr>
            </w:pPr>
            <w:r>
              <w:rPr>
                <w:rFonts w:hint="eastAsia" w:asciiTheme="minorEastAsia" w:hAnsiTheme="minorEastAsia"/>
                <w:sz w:val="24"/>
                <w:szCs w:val="24"/>
                <w:lang w:val="en-US" w:eastAsia="zh-CN"/>
              </w:rPr>
              <w:t>生产厂商（</w:t>
            </w:r>
            <w:r>
              <w:rPr>
                <w:rFonts w:hint="eastAsia" w:asciiTheme="minorEastAsia" w:hAnsiTheme="minorEastAsia"/>
                <w:sz w:val="24"/>
                <w:szCs w:val="24"/>
              </w:rPr>
              <w:t>品牌</w:t>
            </w:r>
            <w:r>
              <w:rPr>
                <w:rFonts w:hint="eastAsia" w:asciiTheme="minorEastAsia" w:hAnsiTheme="minorEastAsia"/>
                <w:sz w:val="24"/>
                <w:szCs w:val="24"/>
                <w:lang w:val="en-US" w:eastAsia="zh-CN"/>
              </w:rPr>
              <w:t>）</w:t>
            </w:r>
          </w:p>
        </w:tc>
        <w:tc>
          <w:tcPr>
            <w:tcW w:w="1350" w:type="dxa"/>
            <w:vAlign w:val="center"/>
          </w:tcPr>
          <w:p w14:paraId="6636DEA2">
            <w:pPr>
              <w:ind w:left="0" w:leftChars="0" w:firstLine="0" w:firstLineChars="0"/>
              <w:jc w:val="both"/>
              <w:rPr>
                <w:rFonts w:asciiTheme="minorEastAsia" w:hAnsiTheme="minorEastAsia"/>
                <w:sz w:val="24"/>
                <w:szCs w:val="24"/>
              </w:rPr>
            </w:pPr>
            <w:r>
              <w:rPr>
                <w:rFonts w:hint="eastAsia" w:asciiTheme="minorEastAsia" w:hAnsiTheme="minorEastAsia"/>
                <w:sz w:val="24"/>
                <w:szCs w:val="24"/>
              </w:rPr>
              <w:t>型号规格</w:t>
            </w:r>
          </w:p>
        </w:tc>
        <w:tc>
          <w:tcPr>
            <w:tcW w:w="1695" w:type="dxa"/>
            <w:vAlign w:val="center"/>
          </w:tcPr>
          <w:p w14:paraId="2AE0163F">
            <w:pPr>
              <w:ind w:left="0" w:leftChars="0" w:firstLine="0" w:firstLineChars="0"/>
              <w:jc w:val="both"/>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设备配置及技术参数（可附页）</w:t>
            </w:r>
          </w:p>
        </w:tc>
        <w:tc>
          <w:tcPr>
            <w:tcW w:w="1090" w:type="dxa"/>
            <w:vAlign w:val="center"/>
          </w:tcPr>
          <w:p w14:paraId="04FE6DC9">
            <w:pPr>
              <w:ind w:left="0" w:leftChars="0" w:firstLine="0" w:firstLineChars="0"/>
              <w:jc w:val="both"/>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交货期</w:t>
            </w:r>
          </w:p>
        </w:tc>
        <w:tc>
          <w:tcPr>
            <w:tcW w:w="1035" w:type="dxa"/>
            <w:vAlign w:val="center"/>
          </w:tcPr>
          <w:p w14:paraId="308C10B6">
            <w:pPr>
              <w:ind w:left="0" w:leftChars="0" w:firstLine="0" w:firstLineChars="0"/>
              <w:jc w:val="both"/>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质保期</w:t>
            </w:r>
          </w:p>
        </w:tc>
        <w:tc>
          <w:tcPr>
            <w:tcW w:w="1035" w:type="dxa"/>
            <w:vAlign w:val="center"/>
          </w:tcPr>
          <w:p w14:paraId="4F887453">
            <w:pPr>
              <w:ind w:left="0" w:leftChars="0" w:firstLine="0" w:firstLineChars="0"/>
              <w:jc w:val="both"/>
              <w:rPr>
                <w:rFonts w:asciiTheme="minorEastAsia" w:hAnsiTheme="minorEastAsia"/>
                <w:sz w:val="24"/>
                <w:szCs w:val="24"/>
              </w:rPr>
            </w:pPr>
            <w:r>
              <w:rPr>
                <w:rFonts w:hint="eastAsia" w:asciiTheme="minorEastAsia" w:hAnsiTheme="minorEastAsia"/>
                <w:sz w:val="24"/>
                <w:szCs w:val="24"/>
              </w:rPr>
              <w:t>数量</w:t>
            </w:r>
          </w:p>
        </w:tc>
        <w:tc>
          <w:tcPr>
            <w:tcW w:w="905" w:type="dxa"/>
            <w:vAlign w:val="center"/>
          </w:tcPr>
          <w:p w14:paraId="11CFEA61">
            <w:pPr>
              <w:ind w:left="0" w:leftChars="0" w:firstLine="0" w:firstLineChars="0"/>
              <w:jc w:val="both"/>
              <w:rPr>
                <w:rFonts w:asciiTheme="minorEastAsia" w:hAnsiTheme="minorEastAsia"/>
                <w:sz w:val="24"/>
                <w:szCs w:val="24"/>
              </w:rPr>
            </w:pPr>
            <w:r>
              <w:rPr>
                <w:rFonts w:hint="eastAsia" w:asciiTheme="minorEastAsia" w:hAnsiTheme="minorEastAsia"/>
                <w:sz w:val="24"/>
                <w:szCs w:val="24"/>
              </w:rPr>
              <w:t>单位</w:t>
            </w:r>
          </w:p>
        </w:tc>
        <w:tc>
          <w:tcPr>
            <w:tcW w:w="1477" w:type="dxa"/>
            <w:vAlign w:val="center"/>
          </w:tcPr>
          <w:p w14:paraId="04CC6928">
            <w:pPr>
              <w:ind w:left="0" w:leftChars="0" w:firstLine="0" w:firstLineChars="0"/>
              <w:jc w:val="both"/>
              <w:rPr>
                <w:rFonts w:hint="eastAsia" w:asciiTheme="minorEastAsia" w:hAnsiTheme="minorEastAsia"/>
                <w:sz w:val="24"/>
                <w:szCs w:val="24"/>
              </w:rPr>
            </w:pPr>
            <w:r>
              <w:rPr>
                <w:rFonts w:hint="eastAsia" w:asciiTheme="minorEastAsia" w:hAnsiTheme="minorEastAsia"/>
                <w:sz w:val="24"/>
                <w:szCs w:val="24"/>
              </w:rPr>
              <w:t>单价（元）</w:t>
            </w:r>
          </w:p>
        </w:tc>
        <w:tc>
          <w:tcPr>
            <w:tcW w:w="1363" w:type="dxa"/>
            <w:vAlign w:val="center"/>
          </w:tcPr>
          <w:p w14:paraId="1E36F9DD">
            <w:pPr>
              <w:ind w:left="0" w:leftChars="0" w:firstLine="0" w:firstLineChars="0"/>
              <w:jc w:val="both"/>
              <w:rPr>
                <w:rFonts w:hint="eastAsia" w:asciiTheme="minorEastAsia" w:hAnsiTheme="minorEastAsia"/>
                <w:sz w:val="24"/>
                <w:szCs w:val="24"/>
              </w:rPr>
            </w:pPr>
            <w:r>
              <w:rPr>
                <w:rFonts w:hint="eastAsia" w:asciiTheme="minorEastAsia" w:hAnsiTheme="minorEastAsia"/>
                <w:sz w:val="24"/>
                <w:szCs w:val="24"/>
              </w:rPr>
              <w:t>总价（元）</w:t>
            </w:r>
          </w:p>
        </w:tc>
        <w:tc>
          <w:tcPr>
            <w:tcW w:w="1409" w:type="dxa"/>
            <w:vAlign w:val="center"/>
          </w:tcPr>
          <w:p w14:paraId="3EE9453D">
            <w:pPr>
              <w:jc w:val="center"/>
              <w:rPr>
                <w:rFonts w:asciiTheme="minorEastAsia" w:hAnsiTheme="minorEastAsia"/>
                <w:sz w:val="24"/>
                <w:szCs w:val="24"/>
              </w:rPr>
            </w:pPr>
            <w:r>
              <w:rPr>
                <w:rFonts w:hint="eastAsia" w:asciiTheme="minorEastAsia" w:hAnsiTheme="minorEastAsia"/>
                <w:sz w:val="24"/>
                <w:szCs w:val="24"/>
              </w:rPr>
              <w:t>备注</w:t>
            </w:r>
          </w:p>
        </w:tc>
      </w:tr>
      <w:tr w14:paraId="4192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33" w:hRule="atLeast"/>
        </w:trPr>
        <w:tc>
          <w:tcPr>
            <w:tcW w:w="750" w:type="dxa"/>
            <w:vAlign w:val="center"/>
          </w:tcPr>
          <w:p w14:paraId="1A589919">
            <w:pPr>
              <w:jc w:val="center"/>
            </w:pPr>
          </w:p>
        </w:tc>
        <w:tc>
          <w:tcPr>
            <w:tcW w:w="1245" w:type="dxa"/>
            <w:vAlign w:val="center"/>
          </w:tcPr>
          <w:p w14:paraId="5268216E">
            <w:pPr>
              <w:jc w:val="center"/>
            </w:pPr>
          </w:p>
        </w:tc>
        <w:tc>
          <w:tcPr>
            <w:tcW w:w="1500" w:type="dxa"/>
            <w:vAlign w:val="center"/>
          </w:tcPr>
          <w:p w14:paraId="014321F1">
            <w:pPr>
              <w:jc w:val="center"/>
            </w:pPr>
          </w:p>
        </w:tc>
        <w:tc>
          <w:tcPr>
            <w:tcW w:w="1350" w:type="dxa"/>
            <w:vAlign w:val="center"/>
          </w:tcPr>
          <w:p w14:paraId="22EC84BC">
            <w:pPr>
              <w:jc w:val="center"/>
            </w:pPr>
          </w:p>
        </w:tc>
        <w:tc>
          <w:tcPr>
            <w:tcW w:w="1695" w:type="dxa"/>
            <w:vAlign w:val="center"/>
          </w:tcPr>
          <w:p w14:paraId="73391B9A">
            <w:pPr>
              <w:jc w:val="center"/>
            </w:pPr>
          </w:p>
        </w:tc>
        <w:tc>
          <w:tcPr>
            <w:tcW w:w="1090" w:type="dxa"/>
            <w:vAlign w:val="center"/>
          </w:tcPr>
          <w:p w14:paraId="300B4C33">
            <w:pPr>
              <w:jc w:val="center"/>
            </w:pPr>
          </w:p>
        </w:tc>
        <w:tc>
          <w:tcPr>
            <w:tcW w:w="1035" w:type="dxa"/>
            <w:vAlign w:val="center"/>
          </w:tcPr>
          <w:p w14:paraId="3CB5E9BF">
            <w:pPr>
              <w:jc w:val="center"/>
            </w:pPr>
          </w:p>
        </w:tc>
        <w:tc>
          <w:tcPr>
            <w:tcW w:w="1035" w:type="dxa"/>
            <w:vAlign w:val="center"/>
          </w:tcPr>
          <w:p w14:paraId="283D7111">
            <w:pPr>
              <w:jc w:val="center"/>
            </w:pPr>
          </w:p>
        </w:tc>
        <w:tc>
          <w:tcPr>
            <w:tcW w:w="905" w:type="dxa"/>
            <w:vAlign w:val="center"/>
          </w:tcPr>
          <w:p w14:paraId="6E8988EC">
            <w:pPr>
              <w:jc w:val="center"/>
            </w:pPr>
          </w:p>
        </w:tc>
        <w:tc>
          <w:tcPr>
            <w:tcW w:w="1477" w:type="dxa"/>
            <w:vAlign w:val="center"/>
          </w:tcPr>
          <w:p w14:paraId="10C43F0F">
            <w:pPr>
              <w:jc w:val="center"/>
            </w:pPr>
          </w:p>
        </w:tc>
        <w:tc>
          <w:tcPr>
            <w:tcW w:w="1363" w:type="dxa"/>
            <w:vAlign w:val="center"/>
          </w:tcPr>
          <w:p w14:paraId="5D56869F">
            <w:pPr>
              <w:jc w:val="center"/>
            </w:pPr>
          </w:p>
        </w:tc>
        <w:tc>
          <w:tcPr>
            <w:tcW w:w="1409" w:type="dxa"/>
            <w:vAlign w:val="center"/>
          </w:tcPr>
          <w:p w14:paraId="5D67415F">
            <w:pPr>
              <w:jc w:val="center"/>
            </w:pPr>
          </w:p>
        </w:tc>
      </w:tr>
      <w:tr w14:paraId="3D20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22" w:hRule="atLeast"/>
        </w:trPr>
        <w:tc>
          <w:tcPr>
            <w:tcW w:w="750" w:type="dxa"/>
            <w:vAlign w:val="center"/>
          </w:tcPr>
          <w:p w14:paraId="6102C9BF">
            <w:pPr>
              <w:jc w:val="center"/>
            </w:pPr>
          </w:p>
        </w:tc>
        <w:tc>
          <w:tcPr>
            <w:tcW w:w="1245" w:type="dxa"/>
            <w:vAlign w:val="center"/>
          </w:tcPr>
          <w:p w14:paraId="2F21D4B7">
            <w:pPr>
              <w:jc w:val="center"/>
            </w:pPr>
          </w:p>
        </w:tc>
        <w:tc>
          <w:tcPr>
            <w:tcW w:w="1500" w:type="dxa"/>
            <w:vAlign w:val="center"/>
          </w:tcPr>
          <w:p w14:paraId="44987AC8">
            <w:pPr>
              <w:jc w:val="center"/>
            </w:pPr>
          </w:p>
        </w:tc>
        <w:tc>
          <w:tcPr>
            <w:tcW w:w="1350" w:type="dxa"/>
            <w:vAlign w:val="center"/>
          </w:tcPr>
          <w:p w14:paraId="40B74AC1">
            <w:pPr>
              <w:jc w:val="center"/>
            </w:pPr>
          </w:p>
        </w:tc>
        <w:tc>
          <w:tcPr>
            <w:tcW w:w="1695" w:type="dxa"/>
            <w:vAlign w:val="center"/>
          </w:tcPr>
          <w:p w14:paraId="3C174527">
            <w:pPr>
              <w:jc w:val="center"/>
            </w:pPr>
          </w:p>
        </w:tc>
        <w:tc>
          <w:tcPr>
            <w:tcW w:w="1090" w:type="dxa"/>
            <w:vAlign w:val="center"/>
          </w:tcPr>
          <w:p w14:paraId="28D47739">
            <w:pPr>
              <w:jc w:val="center"/>
            </w:pPr>
          </w:p>
        </w:tc>
        <w:tc>
          <w:tcPr>
            <w:tcW w:w="1035" w:type="dxa"/>
            <w:vAlign w:val="center"/>
          </w:tcPr>
          <w:p w14:paraId="06B3491D">
            <w:pPr>
              <w:jc w:val="center"/>
            </w:pPr>
          </w:p>
        </w:tc>
        <w:tc>
          <w:tcPr>
            <w:tcW w:w="1035" w:type="dxa"/>
            <w:vAlign w:val="center"/>
          </w:tcPr>
          <w:p w14:paraId="3FE632F5">
            <w:pPr>
              <w:jc w:val="center"/>
            </w:pPr>
          </w:p>
        </w:tc>
        <w:tc>
          <w:tcPr>
            <w:tcW w:w="905" w:type="dxa"/>
            <w:vAlign w:val="center"/>
          </w:tcPr>
          <w:p w14:paraId="60CB7AED">
            <w:pPr>
              <w:jc w:val="center"/>
            </w:pPr>
          </w:p>
        </w:tc>
        <w:tc>
          <w:tcPr>
            <w:tcW w:w="1477" w:type="dxa"/>
            <w:vAlign w:val="center"/>
          </w:tcPr>
          <w:p w14:paraId="073474C2">
            <w:pPr>
              <w:jc w:val="center"/>
            </w:pPr>
          </w:p>
        </w:tc>
        <w:tc>
          <w:tcPr>
            <w:tcW w:w="1363" w:type="dxa"/>
            <w:vAlign w:val="center"/>
          </w:tcPr>
          <w:p w14:paraId="40329359">
            <w:pPr>
              <w:jc w:val="center"/>
            </w:pPr>
          </w:p>
        </w:tc>
        <w:tc>
          <w:tcPr>
            <w:tcW w:w="1409" w:type="dxa"/>
            <w:vAlign w:val="center"/>
          </w:tcPr>
          <w:p w14:paraId="40D230BC">
            <w:pPr>
              <w:jc w:val="center"/>
            </w:pPr>
          </w:p>
        </w:tc>
      </w:tr>
    </w:tbl>
    <w:p w14:paraId="3CD686C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供应商资格要求</w:t>
      </w:r>
    </w:p>
    <w:p w14:paraId="54EE404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asciiTheme="majorEastAsia" w:hAnsiTheme="majorEastAsia" w:eastAsiaTheme="majorEastAsia" w:cstheme="majorEastAsia"/>
          <w:b/>
          <w:bCs/>
          <w:sz w:val="21"/>
          <w:szCs w:val="21"/>
          <w:lang w:val="en-US" w:eastAsia="zh-CN"/>
        </w:rPr>
        <w:t>一、</w:t>
      </w:r>
      <w:r>
        <w:rPr>
          <w:rFonts w:hint="eastAsia"/>
          <w:lang w:val="en-US" w:eastAsia="zh-CN"/>
        </w:rPr>
        <w:t>满足《中国人民共和国政府采购法》第二十二条规定。</w:t>
      </w:r>
    </w:p>
    <w:p w14:paraId="7553195D">
      <w:pPr>
        <w:numPr>
          <w:ilvl w:val="0"/>
          <w:numId w:val="0"/>
        </w:numPr>
        <w:rPr>
          <w:rFonts w:hint="eastAsia"/>
          <w:lang w:val="en-US" w:eastAsia="zh-CN"/>
        </w:rPr>
      </w:pPr>
      <w:r>
        <w:rPr>
          <w:rFonts w:hint="eastAsia"/>
          <w:lang w:val="en-US" w:eastAsia="zh-CN"/>
        </w:rPr>
        <w:t>1、具有独立承担民事责任的能力；</w:t>
      </w:r>
    </w:p>
    <w:p w14:paraId="286403B7">
      <w:pPr>
        <w:numPr>
          <w:ilvl w:val="0"/>
          <w:numId w:val="0"/>
        </w:numPr>
        <w:rPr>
          <w:rFonts w:hint="eastAsia"/>
          <w:lang w:val="en-US" w:eastAsia="zh-CN"/>
        </w:rPr>
      </w:pPr>
      <w:r>
        <w:rPr>
          <w:rFonts w:hint="eastAsia"/>
          <w:lang w:val="en-US" w:eastAsia="zh-CN"/>
        </w:rPr>
        <w:t>2、具有良好的商业信誉和健全的财务会计制度；</w:t>
      </w:r>
    </w:p>
    <w:p w14:paraId="4B9C1D01">
      <w:pPr>
        <w:numPr>
          <w:ilvl w:val="0"/>
          <w:numId w:val="0"/>
        </w:numPr>
        <w:rPr>
          <w:rFonts w:hint="default"/>
          <w:lang w:val="en-US" w:eastAsia="zh-CN"/>
        </w:rPr>
      </w:pPr>
      <w:r>
        <w:rPr>
          <w:rFonts w:hint="eastAsia"/>
          <w:lang w:val="en-US" w:eastAsia="zh-CN"/>
        </w:rPr>
        <w:t>3、具有履行合同所必需的设备和专业技术能力；</w:t>
      </w:r>
    </w:p>
    <w:p w14:paraId="6171BE05">
      <w:pPr>
        <w:numPr>
          <w:ilvl w:val="0"/>
          <w:numId w:val="0"/>
        </w:numPr>
        <w:rPr>
          <w:rFonts w:hint="eastAsia"/>
          <w:lang w:val="en-US" w:eastAsia="zh-CN"/>
        </w:rPr>
      </w:pPr>
      <w:r>
        <w:rPr>
          <w:rFonts w:hint="eastAsia"/>
          <w:lang w:val="en-US" w:eastAsia="zh-CN"/>
        </w:rPr>
        <w:t>4、有依法缴纳税收和社会保障资金的良好记录；</w:t>
      </w:r>
    </w:p>
    <w:p w14:paraId="0489D2DF">
      <w:pPr>
        <w:numPr>
          <w:ilvl w:val="0"/>
          <w:numId w:val="0"/>
        </w:numPr>
        <w:rPr>
          <w:rFonts w:hint="default"/>
          <w:lang w:val="en-US" w:eastAsia="zh-CN"/>
        </w:rPr>
      </w:pPr>
      <w:r>
        <w:rPr>
          <w:rFonts w:hint="eastAsia"/>
          <w:lang w:val="en-US" w:eastAsia="zh-CN"/>
        </w:rPr>
        <w:t>5、法律、行政法规规定的其他条件。</w:t>
      </w:r>
    </w:p>
    <w:p w14:paraId="59012B07">
      <w:pPr>
        <w:numPr>
          <w:ilvl w:val="0"/>
          <w:numId w:val="0"/>
        </w:numPr>
        <w:rPr>
          <w:rFonts w:hint="default"/>
          <w:lang w:val="en-US" w:eastAsia="zh-CN"/>
        </w:rPr>
      </w:pPr>
      <w:r>
        <w:rPr>
          <w:rFonts w:hint="eastAsia"/>
          <w:lang w:val="en-US" w:eastAsia="zh-CN"/>
        </w:rPr>
        <w:t>二、未被“信用中国”（www.creditchina.gov.cn）、中国政府采购网（www.ccgp.gov.cn）列入失信被执行人、重大税收违法案件当事人名单、政府采购严重违法失信行为记录名单。</w:t>
      </w:r>
    </w:p>
    <w:p w14:paraId="22595CB6">
      <w:pPr>
        <w:ind w:left="0" w:leftChars="0" w:firstLine="0" w:firstLineChars="0"/>
        <w:rPr>
          <w:rFonts w:hint="eastAsia"/>
          <w:w w:val="95"/>
          <w:lang w:val="en-US" w:eastAsia="zh-CN"/>
        </w:rPr>
      </w:pPr>
    </w:p>
    <w:sectPr>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46E92">
    <w:pPr>
      <w:pStyle w:val="10"/>
      <w:jc w:val="center"/>
    </w:pPr>
  </w:p>
  <w:p w14:paraId="364A26E1">
    <w:pPr>
      <w:pStyle w:val="10"/>
    </w:pPr>
  </w:p>
  <w:p w14:paraId="526A433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82E5">
    <w:pPr>
      <w:pStyle w:val="10"/>
      <w:jc w:val="right"/>
      <w:rPr>
        <w:rFonts w:hint="eastAsia"/>
      </w:rPr>
    </w:pPr>
  </w:p>
  <w:p w14:paraId="21080336">
    <w:pPr>
      <w:pStyle w:val="10"/>
      <w:jc w:val="right"/>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01979">
    <w:pPr>
      <w:pStyle w:val="10"/>
      <w:jc w:val="right"/>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72011">
    <w:pPr>
      <w:pStyle w:val="10"/>
      <w:jc w:val="right"/>
      <w:rPr>
        <w:rFonts w:hint="eastAsia"/>
      </w:rPr>
    </w:pPr>
  </w:p>
  <w:p w14:paraId="6E0ACC09">
    <w:pPr>
      <w:pStyle w:val="10"/>
      <w:jc w:val="right"/>
      <w:rPr>
        <w:rFonts w:hint="eastAsia" w:eastAsia="宋体"/>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2067">
    <w:pPr>
      <w:pStyle w:val="11"/>
      <w:pBdr>
        <w:bottom w:val="none" w:color="auto" w:sz="0" w:space="1"/>
      </w:pBdr>
    </w:pPr>
  </w:p>
  <w:p w14:paraId="6C478CD8">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AEE3">
    <w:pPr>
      <w:pStyle w:val="11"/>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1FF2DB">
                          <w:pPr>
                            <w:pStyle w:val="11"/>
                          </w:pP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COB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z7nzAlLN37+8f388/f51zf2&#10;Iu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FWgjgbjAQAAzQMAAA4A&#10;AAAAAAAAAQAgAAAAHgEAAGRycy9lMm9Eb2MueG1sUEsFBgAAAAAGAAYAWQEAAHMFAAAAAA==&#10;">
              <v:fill on="f" focussize="0,0"/>
              <v:stroke on="f"/>
              <v:imagedata o:title=""/>
              <o:lock v:ext="edit" aspectratio="f"/>
              <v:textbox inset="0mm,0mm,0mm,0mm" style="mso-fit-shape-to-text:t;">
                <w:txbxContent>
                  <w:p w14:paraId="401FF2DB">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B1708">
    <w:pPr>
      <w:pStyle w:val="11"/>
      <w:pBdr>
        <w:bottom w:val="none" w:color="auto" w:sz="0" w:space="1"/>
      </w:pBdr>
      <w:tabs>
        <w:tab w:val="center" w:pos="4213"/>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488475">
                          <w:pPr>
                            <w:pStyle w:val="11"/>
                            <w:jc w:val="both"/>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9e+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77gzAlLN37+8f388/f51zf2&#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fPXvrjAQAAzQMAAA4A&#10;AAAAAAAAAQAgAAAAHgEAAGRycy9lMm9Eb2MueG1sUEsFBgAAAAAGAAYAWQEAAHMFAAAAAA==&#10;">
              <v:fill on="f" focussize="0,0"/>
              <v:stroke on="f"/>
              <v:imagedata o:title=""/>
              <o:lock v:ext="edit" aspectratio="f"/>
              <v:textbox inset="0mm,0mm,0mm,0mm" style="mso-fit-shape-to-text:t;">
                <w:txbxContent>
                  <w:p w14:paraId="55488475">
                    <w:pPr>
                      <w:pStyle w:val="11"/>
                      <w:jc w:val="both"/>
                    </w:pPr>
                  </w:p>
                </w:txbxContent>
              </v:textbox>
            </v:shape>
          </w:pict>
        </mc:Fallback>
      </mc:AlternateContent>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9EE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8A37B3"/>
    <w:multiLevelType w:val="singleLevel"/>
    <w:tmpl w:val="238A37B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7D58"/>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D00D1"/>
    <w:rsid w:val="00FD45D1"/>
    <w:rsid w:val="00FD75E7"/>
    <w:rsid w:val="00FE1BB3"/>
    <w:rsid w:val="00FE4293"/>
    <w:rsid w:val="00FF0F5A"/>
    <w:rsid w:val="00FF7263"/>
    <w:rsid w:val="01C74355"/>
    <w:rsid w:val="045D1931"/>
    <w:rsid w:val="05311908"/>
    <w:rsid w:val="06E520F4"/>
    <w:rsid w:val="072B07EF"/>
    <w:rsid w:val="08B822CA"/>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EB00CF"/>
    <w:rsid w:val="14ED489F"/>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9077FCE"/>
    <w:rsid w:val="29FA428B"/>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5B371F"/>
    <w:rsid w:val="4D6B4F60"/>
    <w:rsid w:val="4D852C5F"/>
    <w:rsid w:val="4EA05C5B"/>
    <w:rsid w:val="4F187423"/>
    <w:rsid w:val="4F365532"/>
    <w:rsid w:val="4FCC1DAC"/>
    <w:rsid w:val="51652AEA"/>
    <w:rsid w:val="51B46785"/>
    <w:rsid w:val="525A7155"/>
    <w:rsid w:val="52C00EF4"/>
    <w:rsid w:val="5353276D"/>
    <w:rsid w:val="53840F34"/>
    <w:rsid w:val="53D5425E"/>
    <w:rsid w:val="54257DE3"/>
    <w:rsid w:val="5498297C"/>
    <w:rsid w:val="557939A9"/>
    <w:rsid w:val="56793775"/>
    <w:rsid w:val="569C025C"/>
    <w:rsid w:val="570A6829"/>
    <w:rsid w:val="57A14A13"/>
    <w:rsid w:val="58325980"/>
    <w:rsid w:val="58DC271C"/>
    <w:rsid w:val="59B85E5B"/>
    <w:rsid w:val="5BEB0CA6"/>
    <w:rsid w:val="5CEE34CC"/>
    <w:rsid w:val="5D457319"/>
    <w:rsid w:val="5DAA27A4"/>
    <w:rsid w:val="5E1930B1"/>
    <w:rsid w:val="5E7C4F42"/>
    <w:rsid w:val="5E902291"/>
    <w:rsid w:val="5FF6114B"/>
    <w:rsid w:val="63E42C62"/>
    <w:rsid w:val="64C44014"/>
    <w:rsid w:val="65904CE4"/>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810952"/>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D912A8B"/>
    <w:rsid w:val="7DAF37EB"/>
    <w:rsid w:val="7DE30ED2"/>
    <w:rsid w:val="7E1A44A8"/>
    <w:rsid w:val="7E39250C"/>
    <w:rsid w:val="7E8B41CA"/>
    <w:rsid w:val="7E9D32FB"/>
    <w:rsid w:val="7F4D30FB"/>
    <w:rsid w:val="7FD75EAA"/>
    <w:rsid w:val="7FE94A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eastAsia="宋体" w:cs="宋体"/>
      <w:sz w:val="28"/>
      <w:szCs w:val="28"/>
    </w:rPr>
  </w:style>
  <w:style w:type="paragraph" w:styleId="4">
    <w:name w:val="heading 3"/>
    <w:basedOn w:val="1"/>
    <w:next w:val="1"/>
    <w:autoRedefine/>
    <w:qFormat/>
    <w:uiPriority w:val="1"/>
    <w:pPr>
      <w:spacing w:before="34"/>
      <w:ind w:left="123"/>
      <w:outlineLvl w:val="2"/>
    </w:pPr>
    <w:rPr>
      <w:rFonts w:ascii="宋体" w:hAnsi="宋体" w:eastAsia="宋体" w:cs="宋体"/>
      <w:sz w:val="24"/>
      <w:szCs w:val="24"/>
    </w:rPr>
  </w:style>
  <w:style w:type="paragraph" w:styleId="5">
    <w:name w:val="heading 5"/>
    <w:basedOn w:val="1"/>
    <w:next w:val="1"/>
    <w:autoRedefine/>
    <w:qFormat/>
    <w:uiPriority w:val="1"/>
    <w:pPr>
      <w:spacing w:before="21"/>
      <w:ind w:left="910"/>
      <w:outlineLvl w:val="4"/>
    </w:pPr>
    <w:rPr>
      <w:rFonts w:ascii="宋体" w:hAnsi="宋体" w:eastAsia="宋体" w:cs="宋体"/>
      <w:b/>
      <w:bCs/>
      <w:sz w:val="21"/>
      <w:szCs w:val="21"/>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kern w:val="0"/>
      <w:sz w:val="20"/>
      <w:szCs w:val="20"/>
      <w:lang w:eastAsia="en-US"/>
    </w:rPr>
  </w:style>
  <w:style w:type="paragraph" w:styleId="8">
    <w:name w:val="Body Text"/>
    <w:basedOn w:val="1"/>
    <w:autoRedefine/>
    <w:qFormat/>
    <w:uiPriority w:val="1"/>
    <w:pPr>
      <w:ind w:left="543"/>
    </w:pPr>
    <w:rPr>
      <w:rFonts w:ascii="宋体" w:hAnsi="宋体" w:eastAsia="宋体" w:cs="宋体"/>
      <w:sz w:val="21"/>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Char"/>
    <w:basedOn w:val="14"/>
    <w:link w:val="10"/>
    <w:autoRedefine/>
    <w:qFormat/>
    <w:uiPriority w:val="99"/>
    <w:rPr>
      <w:sz w:val="18"/>
      <w:szCs w:val="18"/>
    </w:rPr>
  </w:style>
  <w:style w:type="character" w:customStyle="1" w:styleId="16">
    <w:name w:val="页眉 Char"/>
    <w:basedOn w:val="14"/>
    <w:link w:val="11"/>
    <w:autoRedefine/>
    <w:qFormat/>
    <w:uiPriority w:val="99"/>
    <w:rPr>
      <w:sz w:val="18"/>
      <w:szCs w:val="18"/>
    </w:rPr>
  </w:style>
  <w:style w:type="paragraph" w:customStyle="1" w:styleId="17">
    <w:name w:val="BodyText1I2"/>
    <w:basedOn w:val="18"/>
    <w:autoRedefine/>
    <w:qFormat/>
    <w:uiPriority w:val="0"/>
    <w:pPr>
      <w:spacing w:after="120" w:line="240" w:lineRule="auto"/>
      <w:ind w:left="420" w:leftChars="200" w:firstLine="420" w:firstLineChars="200"/>
      <w:jc w:val="both"/>
      <w:textAlignment w:val="baseline"/>
    </w:pPr>
  </w:style>
  <w:style w:type="paragraph" w:customStyle="1" w:styleId="18">
    <w:name w:val="BodyTextIndent"/>
    <w:basedOn w:val="1"/>
    <w:autoRedefine/>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eastAsia="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eastAsia="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eastAsia="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eastAsia="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1279</Words>
  <Characters>1392</Characters>
  <Lines>47</Lines>
  <Paragraphs>13</Paragraphs>
  <TotalTime>41</TotalTime>
  <ScaleCrop>false</ScaleCrop>
  <LinksUpToDate>false</LinksUpToDate>
  <CharactersWithSpaces>1397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2026-02-04T02:44:44Z</dcterms:modified>
  <dc:title>60L型开水器主要参数</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