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77D61BF4">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高压电源及信号处理系统</w:t>
      </w:r>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w:t>
      </w:r>
      <w:r>
        <w:rPr>
          <w:rFonts w:hint="eastAsia" w:ascii="Times New Roman" w:hAnsi="Times New Roman"/>
          <w:b/>
          <w:sz w:val="32"/>
          <w:szCs w:val="32"/>
          <w:highlight w:val="yellow"/>
          <w:lang w:val="en-US" w:eastAsia="zh-CN"/>
        </w:rPr>
        <w:t>ZDWYY-XJ-2026008</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left="0" w:leftChars="0" w:firstLine="0" w:firstLineChars="0"/>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1AAC7498">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yellow"/>
        </w:rPr>
        <w:t>202</w:t>
      </w:r>
      <w:r>
        <w:rPr>
          <w:rFonts w:hint="eastAsia"/>
          <w:b/>
          <w:bCs/>
          <w:w w:val="95"/>
          <w:sz w:val="32"/>
          <w:szCs w:val="32"/>
          <w:highlight w:val="yellow"/>
          <w:lang w:val="en-US" w:eastAsia="zh-CN"/>
        </w:rPr>
        <w:t>6</w:t>
      </w:r>
      <w:r>
        <w:rPr>
          <w:rFonts w:hint="eastAsia"/>
          <w:b/>
          <w:bCs/>
          <w:w w:val="95"/>
          <w:sz w:val="32"/>
          <w:szCs w:val="32"/>
          <w:highlight w:val="yellow"/>
        </w:rPr>
        <w:t>年</w:t>
      </w:r>
      <w:r>
        <w:rPr>
          <w:rFonts w:hint="eastAsia"/>
          <w:b/>
          <w:bCs/>
          <w:w w:val="95"/>
          <w:sz w:val="32"/>
          <w:szCs w:val="32"/>
          <w:highlight w:val="yellow"/>
          <w:lang w:val="en-US" w:eastAsia="zh-CN"/>
        </w:rPr>
        <w:t>2</w:t>
      </w:r>
      <w:r>
        <w:rPr>
          <w:rFonts w:hint="eastAsia"/>
          <w:b/>
          <w:bCs/>
          <w:w w:val="95"/>
          <w:sz w:val="32"/>
          <w:szCs w:val="32"/>
          <w:highlight w:val="yellow"/>
        </w:rPr>
        <w:t>月</w:t>
      </w: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rPr>
      </w:pPr>
      <w:r>
        <w:rPr>
          <w:rFonts w:hint="eastAsia"/>
          <w:b/>
          <w:bCs/>
          <w:szCs w:val="21"/>
        </w:rPr>
        <w:t>采购物资：</w:t>
      </w:r>
      <w:r>
        <w:rPr>
          <w:rFonts w:hint="eastAsia"/>
          <w:b/>
          <w:bCs/>
          <w:szCs w:val="21"/>
          <w:highlight w:val="yellow"/>
          <w:lang w:val="en-US" w:eastAsia="zh-CN"/>
        </w:rPr>
        <w:t>高压电源及信号处理系统</w:t>
      </w:r>
      <w:r>
        <w:rPr>
          <w:rFonts w:hint="eastAsia"/>
          <w:b/>
          <w:bCs/>
          <w:szCs w:val="21"/>
        </w:rPr>
        <w:t>；采购数量：</w:t>
      </w:r>
      <w:r>
        <w:rPr>
          <w:rFonts w:hint="eastAsia"/>
          <w:b/>
          <w:bCs/>
          <w:szCs w:val="21"/>
          <w:highlight w:val="yellow"/>
        </w:rPr>
        <w:t>1批</w:t>
      </w:r>
      <w:r>
        <w:rPr>
          <w:rFonts w:hint="eastAsia"/>
          <w:b/>
          <w:bCs/>
          <w:szCs w:val="21"/>
        </w:rPr>
        <w:t>；总预算：</w:t>
      </w:r>
      <w:r>
        <w:rPr>
          <w:rFonts w:hint="eastAsia"/>
          <w:b/>
          <w:bCs/>
          <w:szCs w:val="21"/>
          <w:highlight w:val="yellow"/>
          <w:lang w:val="en-US" w:eastAsia="zh-CN"/>
        </w:rPr>
        <w:t>112000</w:t>
      </w:r>
      <w:r>
        <w:rPr>
          <w:rFonts w:hint="eastAsia"/>
          <w:b/>
          <w:bCs/>
          <w:szCs w:val="21"/>
          <w:highlight w:val="yellow"/>
        </w:rPr>
        <w:t>元</w:t>
      </w:r>
      <w:r>
        <w:rPr>
          <w:rFonts w:hint="eastAsia"/>
          <w:b/>
          <w:bCs/>
          <w:szCs w:val="21"/>
        </w:rPr>
        <w:t>。</w:t>
      </w:r>
    </w:p>
    <w:p w14:paraId="51F4D873">
      <w:pPr>
        <w:numPr>
          <w:ilvl w:val="0"/>
          <w:numId w:val="1"/>
        </w:numPr>
        <w:ind w:firstLine="0"/>
        <w:rPr>
          <w:rFonts w:hint="eastAsia"/>
          <w:b/>
          <w:bCs/>
          <w:szCs w:val="21"/>
        </w:rPr>
      </w:pPr>
      <w:r>
        <w:rPr>
          <w:rFonts w:hint="eastAsia"/>
          <w:b/>
          <w:bCs/>
          <w:szCs w:val="21"/>
        </w:rPr>
        <w:t>规格参数（对规格参数有任何疑问，请</w:t>
      </w:r>
      <w:r>
        <w:rPr>
          <w:rFonts w:hint="eastAsia"/>
          <w:b/>
          <w:bCs/>
          <w:szCs w:val="21"/>
          <w:highlight w:val="none"/>
        </w:rPr>
        <w:t>联系</w:t>
      </w:r>
      <w:r>
        <w:rPr>
          <w:rFonts w:hint="eastAsia"/>
          <w:b/>
          <w:bCs/>
          <w:szCs w:val="21"/>
          <w:highlight w:val="yellow"/>
          <w:lang w:val="en-US" w:eastAsia="zh-CN"/>
        </w:rPr>
        <w:t>项目组老师范鸿博，联系方式18684251888</w:t>
      </w:r>
      <w:r>
        <w:rPr>
          <w:rFonts w:hint="eastAsia"/>
          <w:b/>
          <w:bCs/>
          <w:szCs w:val="21"/>
        </w:rPr>
        <w:t>）</w:t>
      </w:r>
    </w:p>
    <w:tbl>
      <w:tblPr>
        <w:tblStyle w:val="12"/>
        <w:tblW w:w="10977" w:type="dxa"/>
        <w:tblInd w:w="-1198" w:type="dxa"/>
        <w:tblLayout w:type="fixed"/>
        <w:tblCellMar>
          <w:top w:w="0" w:type="dxa"/>
          <w:left w:w="108" w:type="dxa"/>
          <w:bottom w:w="0" w:type="dxa"/>
          <w:right w:w="108" w:type="dxa"/>
        </w:tblCellMar>
      </w:tblPr>
      <w:tblGrid>
        <w:gridCol w:w="465"/>
        <w:gridCol w:w="1036"/>
        <w:gridCol w:w="4176"/>
        <w:gridCol w:w="451"/>
        <w:gridCol w:w="390"/>
        <w:gridCol w:w="972"/>
        <w:gridCol w:w="988"/>
        <w:gridCol w:w="1849"/>
        <w:gridCol w:w="650"/>
      </w:tblGrid>
      <w:tr w14:paraId="3CD3C697">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DAF4D1">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4176"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1BEC42B">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988"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849" w:type="dxa"/>
            <w:tcBorders>
              <w:top w:val="single" w:color="auto" w:sz="4" w:space="0"/>
              <w:left w:val="single" w:color="auto" w:sz="4" w:space="0"/>
              <w:bottom w:val="single" w:color="auto" w:sz="4" w:space="0"/>
              <w:right w:val="single" w:color="auto" w:sz="4" w:space="0"/>
            </w:tcBorders>
            <w:noWrap/>
            <w:vAlign w:val="center"/>
          </w:tcPr>
          <w:p w14:paraId="32DD77FE">
            <w:pPr>
              <w:widowControl/>
              <w:spacing w:line="240" w:lineRule="auto"/>
              <w:ind w:left="0" w:leftChars="0" w:firstLine="0" w:firstLineChars="0"/>
              <w:textAlignment w:val="center"/>
              <w:rPr>
                <w:rFonts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45B486E6">
            <w:pPr>
              <w:widowControl/>
              <w:spacing w:line="240" w:lineRule="auto"/>
              <w:ind w:left="0" w:leftChars="0" w:firstLine="0" w:firstLineChars="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备注</w:t>
            </w:r>
          </w:p>
        </w:tc>
      </w:tr>
      <w:tr w14:paraId="445A1662">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1E388E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rPr>
            </w:pPr>
            <w:r>
              <w:rPr>
                <w:rFonts w:hint="eastAsia" w:ascii="宋体" w:hAnsi="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2E770F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用于X射线激发的高压电源及信号处理系统</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639826E0">
            <w:pPr>
              <w:keepNext w:val="0"/>
              <w:keepLines w:val="0"/>
              <w:widowControl/>
              <w:numPr>
                <w:ilvl w:val="0"/>
                <w:numId w:val="2"/>
              </w:numPr>
              <w:suppressLineNumbers w:val="0"/>
              <w:spacing w:line="240" w:lineRule="auto"/>
              <w:ind w:left="0" w:leftChars="0" w:firstLine="0" w:firstLineChars="0"/>
              <w:jc w:val="left"/>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输出功率：30kV、1mA；</w:t>
            </w:r>
          </w:p>
          <w:p w14:paraId="269620BF">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信号处理方式：模拟信号或数字信号处理；</w:t>
            </w:r>
          </w:p>
          <w:p w14:paraId="6DD18E08">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接地方式：外壳接地。</w:t>
            </w:r>
          </w:p>
          <w:p w14:paraId="593A98B7">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default" w:ascii="宋体" w:hAnsi="宋体" w:cs="宋体"/>
                <w:color w:val="000000"/>
                <w:sz w:val="18"/>
                <w:szCs w:val="18"/>
                <w:lang w:val="en-US" w:eastAsia="zh-CN"/>
              </w:rPr>
              <w:t>具备过压、拉弧和输出短路保护。</w:t>
            </w:r>
          </w:p>
          <w:p w14:paraId="29543345">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default" w:ascii="宋体" w:hAnsi="宋体" w:cs="宋体"/>
                <w:color w:val="000000"/>
                <w:sz w:val="18"/>
                <w:szCs w:val="18"/>
                <w:lang w:val="en-US" w:eastAsia="zh-CN"/>
              </w:rPr>
              <w:t>稳定度：开机8小时后每小时小于0.02 %。</w:t>
            </w:r>
          </w:p>
          <w:p w14:paraId="6539AEEE">
            <w:pPr>
              <w:keepNext w:val="0"/>
              <w:keepLines w:val="0"/>
              <w:widowControl/>
              <w:numPr>
                <w:ilvl w:val="0"/>
                <w:numId w:val="2"/>
              </w:numPr>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default" w:ascii="宋体" w:hAnsi="宋体" w:cs="宋体"/>
                <w:color w:val="000000"/>
                <w:sz w:val="18"/>
                <w:szCs w:val="18"/>
                <w:lang w:val="en-US" w:eastAsia="zh-CN"/>
              </w:rPr>
              <w:t>工作温度：0°C-50°C，20%-85%相对湿度</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EBC40B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74EDF1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val="en-US" w:eastAsia="zh-CN"/>
              </w:rPr>
              <w:t>套</w:t>
            </w: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9CAE2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rPr>
              <w:t>112000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ED0E3FE">
            <w:pPr>
              <w:keepNext w:val="0"/>
              <w:keepLines w:val="0"/>
              <w:widowControl/>
              <w:suppressLineNumbers w:val="0"/>
              <w:spacing w:line="240" w:lineRule="auto"/>
              <w:ind w:left="0" w:leftChars="0" w:firstLine="0" w:firstLineChars="0"/>
              <w:jc w:val="both"/>
              <w:textAlignment w:val="center"/>
              <w:rPr>
                <w:rFonts w:ascii="宋体" w:hAnsi="宋体" w:cs="宋体"/>
                <w:color w:val="000000"/>
                <w:sz w:val="18"/>
                <w:szCs w:val="18"/>
              </w:rPr>
            </w:pPr>
            <w:r>
              <w:rPr>
                <w:rFonts w:hint="eastAsia" w:ascii="宋体" w:hAnsi="宋体" w:eastAsia="宋体" w:cs="宋体"/>
                <w:b w:val="0"/>
                <w:bCs w:val="0"/>
                <w:color w:val="000000"/>
                <w:sz w:val="18"/>
                <w:szCs w:val="18"/>
              </w:rPr>
              <w:t>112000</w:t>
            </w:r>
          </w:p>
        </w:tc>
        <w:tc>
          <w:tcPr>
            <w:tcW w:w="1849" w:type="dxa"/>
            <w:tcBorders>
              <w:top w:val="single" w:color="auto" w:sz="4" w:space="0"/>
              <w:left w:val="single" w:color="000000" w:sz="4" w:space="0"/>
              <w:bottom w:val="single" w:color="auto" w:sz="4" w:space="0"/>
              <w:right w:val="single" w:color="000000" w:sz="4" w:space="0"/>
            </w:tcBorders>
            <w:noWrap/>
            <w:vAlign w:val="center"/>
          </w:tcPr>
          <w:p w14:paraId="29CE0B21">
            <w:pPr>
              <w:spacing w:line="240" w:lineRule="auto"/>
              <w:jc w:val="center"/>
              <w:rPr>
                <w:rFonts w:hint="eastAsia" w:ascii="宋体" w:hAnsi="宋体" w:eastAsia="宋体" w:cs="宋体"/>
                <w:b/>
                <w:bCs/>
                <w:color w:val="000000"/>
                <w:sz w:val="18"/>
                <w:szCs w:val="18"/>
                <w:lang w:eastAsia="zh-CN"/>
              </w:rPr>
            </w:pPr>
          </w:p>
        </w:tc>
        <w:tc>
          <w:tcPr>
            <w:tcW w:w="650" w:type="dxa"/>
            <w:tcBorders>
              <w:top w:val="single" w:color="auto" w:sz="4" w:space="0"/>
              <w:left w:val="single" w:color="000000" w:sz="4" w:space="0"/>
              <w:bottom w:val="single" w:color="auto" w:sz="4" w:space="0"/>
              <w:right w:val="single" w:color="000000" w:sz="4" w:space="0"/>
            </w:tcBorders>
            <w:noWrap/>
            <w:vAlign w:val="center"/>
          </w:tcPr>
          <w:p w14:paraId="75027D7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color w:val="000000"/>
                <w:sz w:val="18"/>
                <w:szCs w:val="18"/>
                <w:lang w:eastAsia="zh-CN"/>
              </w:rPr>
            </w:pPr>
          </w:p>
        </w:tc>
      </w:tr>
    </w:tbl>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3"/>
        </w:numPr>
        <w:rPr>
          <w:rFonts w:hint="eastAsia" w:ascii="宋体" w:hAnsi="宋体" w:cs="宋体"/>
          <w:szCs w:val="21"/>
        </w:rPr>
      </w:pPr>
      <w:bookmarkStart w:id="0" w:name="bookmark2"/>
      <w:bookmarkStart w:id="1" w:name="bookmark1"/>
      <w:bookmarkStart w:id="2" w:name="bookmark0"/>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3"/>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lang w:val="en-US" w:eastAsia="zh-CN"/>
        </w:rPr>
        <w:t>1</w:t>
      </w:r>
      <w:r>
        <w:rPr>
          <w:rFonts w:hint="eastAsia" w:ascii="宋体" w:hAnsi="宋体" w:cs="宋体"/>
          <w:szCs w:val="21"/>
          <w:highlight w:val="yellow"/>
        </w:rPr>
        <w:t>年的免费产品质保</w:t>
      </w:r>
      <w:r>
        <w:rPr>
          <w:rFonts w:hint="eastAsia" w:ascii="宋体" w:hAnsi="宋体" w:cs="宋体"/>
          <w:szCs w:val="21"/>
        </w:rPr>
        <w:t>。</w:t>
      </w:r>
    </w:p>
    <w:p w14:paraId="43C658BD">
      <w:pPr>
        <w:numPr>
          <w:ilvl w:val="0"/>
          <w:numId w:val="3"/>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w:t>
      </w:r>
      <w:r>
        <w:rPr>
          <w:rFonts w:hint="eastAsia" w:ascii="宋体" w:hAnsi="宋体" w:cs="宋体"/>
          <w:szCs w:val="21"/>
          <w:highlight w:val="yellow"/>
          <w:lang w:val="en-US" w:eastAsia="zh-CN"/>
        </w:rPr>
        <w:t>30</w:t>
      </w:r>
      <w:r>
        <w:rPr>
          <w:rFonts w:hint="eastAsia" w:ascii="宋体" w:hAnsi="宋体" w:cs="宋体"/>
          <w:szCs w:val="21"/>
          <w:highlight w:val="yellow"/>
        </w:rPr>
        <w:t>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33438397">
      <w:pPr>
        <w:pStyle w:val="6"/>
        <w:numPr>
          <w:ilvl w:val="0"/>
          <w:numId w:val="3"/>
        </w:numPr>
        <w:spacing w:line="360" w:lineRule="auto"/>
        <w:rPr>
          <w:rFonts w:hint="eastAsia" w:ascii="宋体" w:hAnsi="宋体" w:eastAsia="宋体" w:cs="Times New Roman"/>
          <w:b w:val="0"/>
          <w:bCs w:val="0"/>
        </w:rPr>
      </w:pPr>
      <w:r>
        <w:rPr>
          <w:rFonts w:hint="eastAsia" w:ascii="宋体" w:hAnsi="宋体" w:eastAsia="宋体" w:cs="宋体"/>
          <w:b w:val="0"/>
          <w:bCs w:val="0"/>
          <w:highlight w:val="yellow"/>
        </w:rPr>
        <w:t>售后服务</w:t>
      </w:r>
      <w:r>
        <w:rPr>
          <w:rFonts w:hint="eastAsia" w:ascii="宋体" w:hAnsi="宋体" w:eastAsia="宋体" w:cs="宋体"/>
          <w:b w:val="0"/>
          <w:bCs w:val="0"/>
        </w:rPr>
        <w:t>：</w:t>
      </w:r>
      <w:r>
        <w:rPr>
          <w:rFonts w:hint="eastAsia" w:ascii="宋体" w:hAnsi="宋体" w:eastAsia="宋体" w:cs="宋体"/>
          <w:b w:val="0"/>
          <w:bCs w:val="0"/>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eastAsia="宋体" w:cs="Times New Roman"/>
          <w:b w:val="0"/>
          <w:bCs w:val="0"/>
          <w:highlight w:val="yellow"/>
        </w:rPr>
        <w:t>期应重新计算</w:t>
      </w:r>
      <w:r>
        <w:rPr>
          <w:rFonts w:hint="eastAsia" w:ascii="宋体" w:hAnsi="宋体" w:eastAsia="宋体" w:cs="Times New Roman"/>
          <w:b w:val="0"/>
          <w:bCs w:val="0"/>
        </w:rPr>
        <w:t>。</w:t>
      </w:r>
    </w:p>
    <w:p w14:paraId="190A3A1F">
      <w:pPr>
        <w:pStyle w:val="6"/>
        <w:numPr>
          <w:ilvl w:val="0"/>
          <w:numId w:val="3"/>
        </w:numPr>
        <w:spacing w:line="360" w:lineRule="auto"/>
        <w:rPr>
          <w:rFonts w:hint="eastAsia" w:ascii="宋体" w:hAnsi="宋体" w:eastAsia="宋体" w:cs="Times New Roman"/>
          <w:b w:val="0"/>
          <w:bCs w:val="0"/>
          <w:lang w:val="en-US" w:eastAsia="zh-CN"/>
        </w:rPr>
      </w:pPr>
      <w:r>
        <w:rPr>
          <w:rFonts w:hint="eastAsia" w:ascii="宋体" w:hAnsi="宋体" w:eastAsia="宋体" w:cs="Times New Roman"/>
          <w:b w:val="0"/>
          <w:bCs w:val="0"/>
          <w:highlight w:val="yellow"/>
          <w:lang w:val="en-US" w:eastAsia="zh-CN"/>
        </w:rPr>
        <w:t>到货地点</w:t>
      </w:r>
      <w:r>
        <w:rPr>
          <w:rFonts w:hint="eastAsia" w:ascii="宋体" w:hAnsi="宋体" w:eastAsia="宋体" w:cs="Times New Roman"/>
          <w:b w:val="0"/>
          <w:bCs w:val="0"/>
          <w:lang w:val="en-US" w:eastAsia="zh-CN"/>
        </w:rPr>
        <w:t>：</w:t>
      </w:r>
      <w:r>
        <w:rPr>
          <w:rFonts w:hint="eastAsia" w:ascii="宋体" w:hAnsi="宋体" w:cs="Times New Roman"/>
          <w:b w:val="0"/>
          <w:bCs w:val="0"/>
          <w:highlight w:val="yellow"/>
          <w:lang w:val="en-US" w:eastAsia="zh-CN"/>
        </w:rPr>
        <w:t>浙江大学温州研究院</w:t>
      </w:r>
      <w:r>
        <w:rPr>
          <w:rFonts w:hint="eastAsia" w:ascii="宋体" w:hAnsi="宋体" w:eastAsia="宋体" w:cs="Times New Roman"/>
          <w:b w:val="0"/>
          <w:bCs w:val="0"/>
          <w:highlight w:val="yellow"/>
          <w:lang w:val="en-US" w:eastAsia="zh-CN"/>
        </w:rPr>
        <w:t>指定地点</w:t>
      </w:r>
      <w:r>
        <w:rPr>
          <w:rFonts w:hint="eastAsia" w:ascii="宋体" w:hAnsi="宋体" w:eastAsia="宋体" w:cs="Times New Roman"/>
          <w:b w:val="0"/>
          <w:bCs w:val="0"/>
          <w:lang w:val="en-US" w:eastAsia="zh-CN"/>
        </w:rPr>
        <w:t>。</w:t>
      </w:r>
    </w:p>
    <w:p w14:paraId="64EDFBDA">
      <w:pPr>
        <w:pStyle w:val="6"/>
        <w:numPr>
          <w:ilvl w:val="0"/>
          <w:numId w:val="3"/>
        </w:numPr>
        <w:spacing w:line="360" w:lineRule="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lang w:val="en-US" w:eastAsia="zh-CN"/>
        </w:rPr>
        <w:t>对规格参数要求有任何疑问，请联系</w:t>
      </w:r>
      <w:r>
        <w:rPr>
          <w:rFonts w:hint="eastAsia" w:ascii="宋体" w:hAnsi="宋体" w:cs="Times New Roman"/>
          <w:b w:val="0"/>
          <w:bCs w:val="0"/>
          <w:lang w:val="en-US" w:eastAsia="zh-CN"/>
        </w:rPr>
        <w:t>需求人</w:t>
      </w:r>
      <w:r>
        <w:rPr>
          <w:rFonts w:hint="eastAsia" w:ascii="宋体" w:hAnsi="宋体" w:cs="Times New Roman"/>
          <w:b w:val="0"/>
          <w:bCs w:val="0"/>
          <w:highlight w:val="yellow"/>
          <w:lang w:val="en-US" w:eastAsia="zh-CN"/>
        </w:rPr>
        <w:t>范鸿博</w:t>
      </w:r>
      <w:r>
        <w:rPr>
          <w:rFonts w:hint="eastAsia" w:ascii="宋体" w:hAnsi="宋体" w:eastAsia="宋体" w:cs="Times New Roman"/>
          <w:b w:val="0"/>
          <w:bCs w:val="0"/>
          <w:highlight w:val="yellow"/>
          <w:lang w:val="en-US" w:eastAsia="zh-CN"/>
        </w:rPr>
        <w:t>：</w:t>
      </w:r>
      <w:r>
        <w:rPr>
          <w:rFonts w:hint="eastAsia" w:ascii="宋体" w:hAnsi="宋体" w:cs="Times New Roman"/>
          <w:b w:val="0"/>
          <w:bCs w:val="0"/>
          <w:highlight w:val="yellow"/>
          <w:lang w:val="en-US" w:eastAsia="zh-CN"/>
        </w:rPr>
        <w:t>18684251888</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3C0C71C2">
      <w:pPr>
        <w:numPr>
          <w:ilvl w:val="0"/>
          <w:numId w:val="4"/>
        </w:numPr>
        <w:tabs>
          <w:tab w:val="left" w:pos="312"/>
        </w:tabs>
        <w:rPr>
          <w:b/>
          <w:color w:val="auto"/>
        </w:rPr>
      </w:pPr>
      <w:r>
        <w:rPr>
          <w:rFonts w:hint="eastAsia" w:ascii="宋体" w:hAnsi="宋体"/>
          <w:b/>
          <w:color w:val="auto"/>
        </w:rPr>
        <w:t>所有报价供应商均为认同并遵守本在线询价中的所有要求。</w:t>
      </w:r>
    </w:p>
    <w:p w14:paraId="61BBDAE4">
      <w:pPr>
        <w:numPr>
          <w:ilvl w:val="0"/>
          <w:numId w:val="4"/>
        </w:numPr>
        <w:tabs>
          <w:tab w:val="left" w:pos="312"/>
        </w:tabs>
        <w:rPr>
          <w:b/>
          <w:color w:val="auto"/>
        </w:rPr>
      </w:pPr>
      <w:r>
        <w:rPr>
          <w:rFonts w:hint="eastAsia"/>
          <w:b/>
          <w:color w:val="auto"/>
        </w:rPr>
        <w:t>中标供应商如因自身原因放弃项目的中标资格或者拒签合同的，原则上不得参加对该项目重新开展的采购活动。</w:t>
      </w:r>
    </w:p>
    <w:p w14:paraId="6D446715">
      <w:pPr>
        <w:numPr>
          <w:ilvl w:val="0"/>
          <w:numId w:val="4"/>
        </w:numPr>
        <w:tabs>
          <w:tab w:val="left" w:pos="312"/>
        </w:tabs>
        <w:rPr>
          <w:b/>
          <w:color w:val="auto"/>
        </w:rPr>
      </w:pPr>
      <w:r>
        <w:rPr>
          <w:rFonts w:hint="eastAsia" w:ascii="宋体" w:hAnsi="宋体"/>
          <w:b/>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b/>
          <w:color w:val="auto"/>
          <w:highlight w:val="none"/>
        </w:rPr>
      </w:pPr>
      <w:r>
        <w:rPr>
          <w:rFonts w:hint="eastAsia" w:ascii="宋体" w:hAnsi="宋体"/>
          <w:b/>
          <w:color w:val="auto"/>
          <w:highlight w:val="none"/>
        </w:rPr>
        <w:t>报价供应商需</w:t>
      </w:r>
      <w:r>
        <w:rPr>
          <w:rFonts w:hint="eastAsia" w:ascii="宋体" w:hAnsi="宋体"/>
          <w:b/>
          <w:color w:val="auto"/>
          <w:highlight w:val="none"/>
          <w:lang w:val="en-US" w:eastAsia="zh-CN"/>
        </w:rPr>
        <w:t>将加盖公章的合格有效的企业营业执照复印件、报价单（附件2</w:t>
      </w:r>
      <w:bookmarkStart w:id="3" w:name="_GoBack"/>
      <w:bookmarkEnd w:id="3"/>
      <w:r>
        <w:rPr>
          <w:rFonts w:hint="eastAsia" w:ascii="宋体" w:hAnsi="宋体"/>
          <w:b/>
          <w:color w:val="auto"/>
          <w:highlight w:val="none"/>
          <w:lang w:val="en-US" w:eastAsia="zh-CN"/>
        </w:rPr>
        <w:t>）文件发送至邮箱zdwzyjy2023@163.com，</w:t>
      </w:r>
      <w:r>
        <w:rPr>
          <w:rFonts w:hint="eastAsia" w:ascii="宋体" w:hAnsi="宋体"/>
          <w:b/>
          <w:color w:val="auto"/>
          <w:highlight w:val="none"/>
        </w:rPr>
        <w:t>未按要求提交的供应商，采购人可按无效响应处理。</w:t>
      </w:r>
    </w:p>
    <w:p w14:paraId="21E701D3">
      <w:pPr>
        <w:tabs>
          <w:tab w:val="left" w:pos="-200"/>
          <w:tab w:val="left" w:pos="0"/>
        </w:tabs>
        <w:spacing w:line="240" w:lineRule="auto"/>
        <w:rPr>
          <w:rFonts w:hint="eastAsia" w:ascii="宋体" w:hAnsi="宋体"/>
          <w:b/>
          <w:color w:val="auto"/>
          <w:highlight w:val="none"/>
        </w:rPr>
      </w:pPr>
    </w:p>
    <w:p w14:paraId="22595CB6">
      <w:pPr>
        <w:ind w:left="0" w:leftChars="0" w:firstLine="0" w:firstLineChars="0"/>
        <w:rPr>
          <w:rFonts w:hint="eastAsia"/>
          <w:w w:val="95"/>
          <w:lang w:val="en-US" w:eastAsia="zh-CN"/>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82E5">
    <w:pPr>
      <w:pStyle w:val="10"/>
      <w:jc w:val="right"/>
      <w:rPr>
        <w:rFonts w:hint="eastAsia"/>
      </w:rPr>
    </w:pPr>
  </w:p>
  <w:p w14:paraId="21080336">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1979">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AEE3">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1FF2DB">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401FF2DB">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1708">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488475">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55488475">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C87832"/>
    <w:multiLevelType w:val="singleLevel"/>
    <w:tmpl w:val="75C87832"/>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6CC4728"/>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7F3DFB"/>
    <w:rsid w:val="359C056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5D51C1"/>
    <w:rsid w:val="69976A08"/>
    <w:rsid w:val="6B04059F"/>
    <w:rsid w:val="6B734732"/>
    <w:rsid w:val="6C155E31"/>
    <w:rsid w:val="6E4476B1"/>
    <w:rsid w:val="6E8E3BBC"/>
    <w:rsid w:val="6ED445AA"/>
    <w:rsid w:val="6F081BAF"/>
    <w:rsid w:val="6F17563E"/>
    <w:rsid w:val="6F5B0B3B"/>
    <w:rsid w:val="7036041C"/>
    <w:rsid w:val="7084409A"/>
    <w:rsid w:val="71203116"/>
    <w:rsid w:val="716A2545"/>
    <w:rsid w:val="71810952"/>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912A8B"/>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1194</Words>
  <Characters>1317</Characters>
  <Lines>47</Lines>
  <Paragraphs>13</Paragraphs>
  <TotalTime>3</TotalTime>
  <ScaleCrop>false</ScaleCrop>
  <LinksUpToDate>false</LinksUpToDate>
  <CharactersWithSpaces>1323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2026-02-04T01:40:30Z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